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bCs/>
          <w:kern w:val="0"/>
          <w:sz w:val="32"/>
          <w:szCs w:val="32"/>
        </w:rPr>
      </w:pPr>
    </w:p>
    <w:p>
      <w:pPr>
        <w:pStyle w:val="8"/>
        <w:ind w:left="3534" w:leftChars="421" w:hanging="2650" w:hangingChars="600"/>
        <w:rPr>
          <w:rFonts w:hint="eastAsia" w:ascii="新宋体" w:hAnsi="新宋体" w:eastAsia="新宋体" w:cs="新宋体"/>
          <w:b/>
          <w:bCs/>
          <w:sz w:val="44"/>
          <w:szCs w:val="44"/>
        </w:rPr>
      </w:pPr>
      <w:r>
        <w:rPr>
          <w:rFonts w:hint="eastAsia" w:ascii="新宋体" w:hAnsi="新宋体" w:eastAsia="新宋体" w:cs="新宋体"/>
          <w:b/>
          <w:bCs/>
          <w:sz w:val="44"/>
          <w:szCs w:val="44"/>
        </w:rPr>
        <w:t>浙江嘉善天凝镇综合智慧零碳电厂项目</w:t>
      </w:r>
    </w:p>
    <w:p>
      <w:pPr>
        <w:pStyle w:val="8"/>
        <w:ind w:left="3526" w:leftChars="1048" w:hanging="1325" w:hangingChars="300"/>
        <w:rPr>
          <w:rFonts w:hint="eastAsia" w:ascii="宋体" w:hAnsi="宋体" w:eastAsia="宋体" w:cs="宋体"/>
          <w:kern w:val="21"/>
          <w:sz w:val="21"/>
          <w:szCs w:val="21"/>
          <w:lang w:val="en-US" w:eastAsia="zh-CN"/>
        </w:rPr>
      </w:pPr>
      <w:r>
        <w:rPr>
          <w:rFonts w:hint="eastAsia" w:ascii="新宋体" w:hAnsi="新宋体" w:eastAsia="新宋体" w:cs="新宋体"/>
          <w:b/>
          <w:bCs/>
          <w:sz w:val="44"/>
          <w:szCs w:val="44"/>
        </w:rPr>
        <w:t>（一期）</w:t>
      </w:r>
      <w:r>
        <w:rPr>
          <w:rFonts w:hint="eastAsia" w:ascii="新宋体" w:hAnsi="新宋体" w:eastAsia="新宋体" w:cs="新宋体"/>
          <w:b/>
          <w:bCs/>
          <w:sz w:val="44"/>
          <w:szCs w:val="44"/>
          <w:lang w:val="en-US" w:eastAsia="zh-CN"/>
        </w:rPr>
        <w:t>23.5MW47MWh</w:t>
      </w:r>
      <w:r>
        <w:rPr>
          <w:rFonts w:hint="eastAsia" w:ascii="新宋体" w:hAnsi="新宋体" w:eastAsia="新宋体" w:cs="新宋体"/>
          <w:b/>
          <w:bCs/>
          <w:kern w:val="21"/>
          <w:sz w:val="36"/>
          <w:szCs w:val="36"/>
          <w:lang w:val="en-US" w:eastAsia="zh-CN"/>
        </w:rPr>
        <w:t xml:space="preserve"> </w:t>
      </w:r>
      <w:r>
        <w:rPr>
          <w:rFonts w:hint="eastAsia" w:ascii="宋体" w:hAnsi="宋体" w:eastAsia="宋体" w:cs="宋体"/>
          <w:kern w:val="21"/>
          <w:sz w:val="40"/>
          <w:szCs w:val="40"/>
          <w:lang w:val="en-US" w:eastAsia="zh-CN"/>
        </w:rPr>
        <w:t xml:space="preserve"> </w:t>
      </w:r>
      <w:r>
        <w:rPr>
          <w:rFonts w:hint="eastAsia" w:ascii="宋体" w:hAnsi="宋体" w:eastAsia="宋体" w:cs="宋体"/>
          <w:kern w:val="21"/>
          <w:sz w:val="21"/>
          <w:szCs w:val="21"/>
          <w:lang w:val="en-US" w:eastAsia="zh-CN"/>
        </w:rPr>
        <w:t xml:space="preserve"> </w:t>
      </w:r>
    </w:p>
    <w:p>
      <w:pPr>
        <w:spacing w:line="440" w:lineRule="exact"/>
        <w:jc w:val="center"/>
        <w:rPr>
          <w:rFonts w:hint="eastAsia"/>
          <w:b/>
          <w:bCs/>
          <w:sz w:val="44"/>
          <w:szCs w:val="44"/>
        </w:rPr>
      </w:pPr>
    </w:p>
    <w:p>
      <w:pPr>
        <w:spacing w:line="440" w:lineRule="exact"/>
        <w:jc w:val="center"/>
        <w:rPr>
          <w:rFonts w:hint="eastAsia"/>
          <w:b/>
          <w:bCs/>
          <w:sz w:val="44"/>
          <w:szCs w:val="44"/>
        </w:rPr>
      </w:pPr>
    </w:p>
    <w:p>
      <w:pPr>
        <w:spacing w:line="360" w:lineRule="auto"/>
        <w:ind w:firstLine="2650" w:firstLineChars="600"/>
        <w:jc w:val="both"/>
        <w:rPr>
          <w:rFonts w:hint="eastAsia" w:ascii="宋体" w:hAnsi="宋体" w:eastAsia="宋体" w:cs="Times New Roman"/>
          <w:b/>
          <w:sz w:val="44"/>
          <w:szCs w:val="44"/>
        </w:rPr>
      </w:pPr>
      <w:r>
        <w:rPr>
          <w:rFonts w:hint="default" w:ascii="宋体" w:hAnsi="宋体" w:cs="Times New Roman"/>
          <w:b/>
          <w:sz w:val="44"/>
          <w:szCs w:val="44"/>
          <w:lang w:val="en-US" w:eastAsia="zh-CN"/>
        </w:rPr>
        <w:t xml:space="preserve">监 理 </w:t>
      </w:r>
      <w:r>
        <w:rPr>
          <w:rFonts w:hint="eastAsia" w:ascii="宋体" w:hAnsi="宋体" w:eastAsia="宋体" w:cs="Times New Roman"/>
          <w:b/>
          <w:sz w:val="44"/>
          <w:szCs w:val="44"/>
        </w:rPr>
        <w:t>应</w:t>
      </w:r>
      <w:r>
        <w:rPr>
          <w:rFonts w:hint="eastAsia" w:ascii="宋体" w:hAnsi="宋体" w:cs="Times New Roman"/>
          <w:b/>
          <w:sz w:val="44"/>
          <w:szCs w:val="44"/>
          <w:lang w:val="en-US" w:eastAsia="zh-CN"/>
        </w:rPr>
        <w:t xml:space="preserve"> </w:t>
      </w:r>
      <w:r>
        <w:rPr>
          <w:rFonts w:hint="eastAsia" w:ascii="宋体" w:hAnsi="宋体" w:eastAsia="宋体" w:cs="Times New Roman"/>
          <w:b/>
          <w:sz w:val="44"/>
          <w:szCs w:val="44"/>
        </w:rPr>
        <w:t>急</w:t>
      </w:r>
      <w:r>
        <w:rPr>
          <w:rFonts w:hint="eastAsia" w:ascii="宋体" w:hAnsi="宋体" w:cs="Times New Roman"/>
          <w:b/>
          <w:sz w:val="44"/>
          <w:szCs w:val="44"/>
          <w:lang w:val="en-US" w:eastAsia="zh-CN"/>
        </w:rPr>
        <w:t xml:space="preserve"> </w:t>
      </w:r>
      <w:r>
        <w:rPr>
          <w:rFonts w:hint="eastAsia" w:ascii="宋体" w:hAnsi="宋体" w:eastAsia="宋体" w:cs="Times New Roman"/>
          <w:b/>
          <w:sz w:val="44"/>
          <w:szCs w:val="44"/>
        </w:rPr>
        <w:t>预</w:t>
      </w:r>
      <w:r>
        <w:rPr>
          <w:rFonts w:hint="eastAsia" w:ascii="宋体" w:hAnsi="宋体" w:cs="Times New Roman"/>
          <w:b/>
          <w:sz w:val="44"/>
          <w:szCs w:val="44"/>
          <w:lang w:val="en-US" w:eastAsia="zh-CN"/>
        </w:rPr>
        <w:t xml:space="preserve"> </w:t>
      </w:r>
      <w:r>
        <w:rPr>
          <w:rFonts w:hint="eastAsia" w:ascii="宋体" w:hAnsi="宋体" w:eastAsia="宋体" w:cs="Times New Roman"/>
          <w:b/>
          <w:sz w:val="44"/>
          <w:szCs w:val="44"/>
        </w:rPr>
        <w:t>案</w:t>
      </w:r>
    </w:p>
    <w:p>
      <w:pPr>
        <w:pStyle w:val="8"/>
        <w:rPr>
          <w:rFonts w:hint="eastAsia" w:ascii="宋体" w:hAnsi="宋体" w:eastAsia="宋体" w:cs="Times New Roman"/>
          <w:b/>
          <w:sz w:val="36"/>
          <w:szCs w:val="36"/>
        </w:rPr>
      </w:pPr>
    </w:p>
    <w:p>
      <w:pPr>
        <w:pStyle w:val="8"/>
        <w:tabs>
          <w:tab w:val="left" w:pos="3419"/>
        </w:tabs>
        <w:rPr>
          <w:rFonts w:hint="default" w:ascii="宋体" w:hAnsi="宋体" w:eastAsia="宋体" w:cs="Times New Roman"/>
          <w:b/>
          <w:sz w:val="36"/>
          <w:szCs w:val="36"/>
          <w:lang w:val="en-US" w:eastAsia="zh-CN"/>
        </w:rPr>
      </w:pPr>
      <w:r>
        <w:rPr>
          <w:rFonts w:hint="eastAsia" w:ascii="宋体" w:hAnsi="宋体" w:eastAsia="宋体" w:cs="Times New Roman"/>
          <w:b/>
          <w:sz w:val="36"/>
          <w:szCs w:val="36"/>
          <w:lang w:eastAsia="zh-CN"/>
        </w:rPr>
        <w:tab/>
      </w:r>
      <w:r>
        <w:rPr>
          <w:rFonts w:hint="eastAsia" w:ascii="宋体" w:hAnsi="宋体" w:eastAsia="宋体" w:cs="Times New Roman"/>
          <w:b/>
          <w:sz w:val="36"/>
          <w:szCs w:val="36"/>
          <w:lang w:val="en-US" w:eastAsia="zh-CN"/>
        </w:rPr>
        <w:t xml:space="preserve"> </w:t>
      </w:r>
    </w:p>
    <w:p>
      <w:pPr>
        <w:spacing w:after="240" w:line="720" w:lineRule="auto"/>
        <w:ind w:firstLine="2168" w:firstLineChars="600"/>
        <w:rPr>
          <w:rFonts w:ascii="宋体" w:hAnsi="宋体" w:cs="Times New Roman"/>
          <w:b/>
          <w:sz w:val="36"/>
          <w:szCs w:val="36"/>
          <w:u w:val="single"/>
        </w:rPr>
      </w:pPr>
      <w:r>
        <w:rPr>
          <w:rFonts w:hint="eastAsia" w:ascii="宋体" w:hAnsi="宋体" w:cs="Times New Roman"/>
          <w:b/>
          <w:sz w:val="36"/>
          <w:szCs w:val="36"/>
        </w:rPr>
        <w:t>批准：</w:t>
      </w:r>
      <w:r>
        <w:rPr>
          <w:rFonts w:ascii="宋体" w:hAnsi="宋体" w:cs="Times New Roman"/>
          <w:b/>
          <w:sz w:val="36"/>
          <w:szCs w:val="36"/>
          <w:u w:val="single"/>
        </w:rPr>
        <w:t xml:space="preserve">                    </w:t>
      </w:r>
    </w:p>
    <w:p>
      <w:pPr>
        <w:pStyle w:val="2"/>
      </w:pPr>
      <w:bookmarkStart w:id="26" w:name="_GoBack"/>
      <w:bookmarkEnd w:id="26"/>
    </w:p>
    <w:p>
      <w:pPr>
        <w:ind w:firstLine="2168" w:firstLineChars="600"/>
        <w:jc w:val="both"/>
        <w:rPr>
          <w:rFonts w:ascii="宋体" w:eastAsia="宋体" w:cs="Times New Roman"/>
          <w:b/>
          <w:bCs/>
          <w:sz w:val="36"/>
        </w:rPr>
      </w:pPr>
      <w:r>
        <w:rPr>
          <w:rFonts w:hint="eastAsia" w:ascii="宋体" w:hAnsi="宋体" w:cs="Times New Roman"/>
          <w:b/>
          <w:sz w:val="36"/>
          <w:szCs w:val="36"/>
        </w:rPr>
        <w:t>编制：</w:t>
      </w:r>
      <w:r>
        <w:rPr>
          <w:rFonts w:ascii="宋体" w:hAnsi="宋体" w:cs="Times New Roman"/>
          <w:b/>
          <w:sz w:val="36"/>
          <w:szCs w:val="36"/>
          <w:u w:val="single"/>
        </w:rPr>
        <w:t xml:space="preserve">                    </w:t>
      </w:r>
    </w:p>
    <w:p>
      <w:pPr>
        <w:spacing w:after="240" w:line="720" w:lineRule="auto"/>
        <w:rPr>
          <w:rFonts w:ascii="宋体"/>
          <w:kern w:val="0"/>
          <w:sz w:val="30"/>
          <w:szCs w:val="22"/>
        </w:rPr>
      </w:pPr>
    </w:p>
    <w:p>
      <w:pPr>
        <w:spacing w:line="440" w:lineRule="exact"/>
        <w:rPr>
          <w:rFonts w:ascii="宋体"/>
          <w:kern w:val="0"/>
          <w:sz w:val="30"/>
          <w:szCs w:val="22"/>
        </w:rPr>
      </w:pPr>
    </w:p>
    <w:p>
      <w:pPr>
        <w:spacing w:line="440" w:lineRule="exact"/>
        <w:rPr>
          <w:rFonts w:ascii="宋体"/>
          <w:kern w:val="0"/>
          <w:sz w:val="30"/>
          <w:szCs w:val="22"/>
        </w:rPr>
      </w:pPr>
    </w:p>
    <w:p>
      <w:pPr>
        <w:spacing w:line="440" w:lineRule="exact"/>
        <w:jc w:val="center"/>
        <w:rPr>
          <w:rFonts w:ascii="宋体"/>
          <w:kern w:val="0"/>
          <w:sz w:val="30"/>
        </w:rPr>
      </w:pPr>
    </w:p>
    <w:p>
      <w:pPr>
        <w:pStyle w:val="8"/>
        <w:rPr>
          <w:rFonts w:ascii="宋体"/>
          <w:kern w:val="0"/>
          <w:sz w:val="30"/>
        </w:rPr>
      </w:pPr>
    </w:p>
    <w:p>
      <w:pPr>
        <w:pStyle w:val="8"/>
        <w:rPr>
          <w:rFonts w:ascii="宋体"/>
          <w:kern w:val="0"/>
          <w:sz w:val="30"/>
        </w:rPr>
      </w:pPr>
    </w:p>
    <w:p>
      <w:pPr>
        <w:ind w:firstLine="1988" w:firstLineChars="550"/>
        <w:jc w:val="both"/>
        <w:rPr>
          <w:rFonts w:hint="eastAsia" w:ascii="宋体" w:hAnsi="宋体" w:eastAsia="宋体" w:cs="宋体"/>
          <w:b/>
          <w:bCs/>
          <w:sz w:val="36"/>
          <w:szCs w:val="36"/>
        </w:rPr>
      </w:pPr>
      <w:r>
        <w:rPr>
          <w:rFonts w:hint="eastAsia" w:ascii="宋体" w:hAnsi="宋体" w:cs="宋体"/>
          <w:b/>
          <w:bCs/>
          <w:sz w:val="36"/>
          <w:szCs w:val="36"/>
          <w:lang w:val="en-US" w:eastAsia="zh-CN"/>
        </w:rPr>
        <w:t>常州正衡电力工程监理有限公司</w:t>
      </w:r>
    </w:p>
    <w:p>
      <w:pPr>
        <w:pStyle w:val="8"/>
        <w:ind w:firstLine="3614" w:firstLineChars="1000"/>
        <w:jc w:val="both"/>
        <w:rPr>
          <w:rFonts w:hint="eastAsia" w:ascii="宋体" w:hAnsi="宋体" w:eastAsia="宋体" w:cs="宋体"/>
          <w:b/>
          <w:bCs/>
          <w:sz w:val="36"/>
          <w:szCs w:val="36"/>
          <w:lang w:val="en-US" w:eastAsia="zh-CN"/>
        </w:rPr>
      </w:pPr>
      <w:r>
        <w:rPr>
          <w:rFonts w:hint="eastAsia" w:ascii="宋体" w:hAnsi="宋体" w:eastAsia="宋体" w:cs="宋体"/>
          <w:b/>
          <w:bCs/>
          <w:color w:val="000000"/>
          <w:sz w:val="36"/>
          <w:szCs w:val="36"/>
          <w:lang w:val="en-US" w:eastAsia="zh-CN"/>
        </w:rPr>
        <w:t>项目监理部</w:t>
      </w:r>
    </w:p>
    <w:p>
      <w:pPr>
        <w:spacing w:line="480" w:lineRule="auto"/>
        <w:ind w:firstLine="3614" w:firstLineChars="1000"/>
        <w:jc w:val="both"/>
        <w:rPr>
          <w:rFonts w:hint="eastAsia" w:ascii="宋体" w:hAnsi="宋体" w:cs="宋体"/>
          <w:bCs/>
          <w:kern w:val="28"/>
          <w:sz w:val="28"/>
          <w:szCs w:val="28"/>
        </w:rPr>
      </w:pPr>
      <w:r>
        <w:rPr>
          <w:rFonts w:hint="eastAsia" w:ascii="宋体" w:hAnsi="宋体" w:eastAsia="宋体" w:cs="Times New Roman"/>
          <w:b/>
          <w:bCs/>
          <w:sz w:val="36"/>
          <w:lang w:val="en-US" w:eastAsia="zh-CN"/>
        </w:rPr>
        <w:t>20</w:t>
      </w:r>
      <w:r>
        <w:rPr>
          <w:rFonts w:hint="eastAsia" w:ascii="宋体" w:hAnsi="宋体" w:cs="Times New Roman"/>
          <w:b/>
          <w:bCs/>
          <w:sz w:val="36"/>
          <w:lang w:val="en-US" w:eastAsia="zh-CN"/>
        </w:rPr>
        <w:t>23</w:t>
      </w:r>
      <w:r>
        <w:rPr>
          <w:rFonts w:hint="eastAsia" w:ascii="宋体" w:hAnsi="宋体" w:eastAsia="宋体" w:cs="Times New Roman"/>
          <w:b/>
          <w:bCs/>
          <w:sz w:val="36"/>
          <w:lang w:val="en-US" w:eastAsia="zh-CN"/>
        </w:rPr>
        <w:t>年</w:t>
      </w:r>
      <w:r>
        <w:rPr>
          <w:rFonts w:hint="eastAsia" w:ascii="宋体" w:hAnsi="宋体" w:cs="Times New Roman"/>
          <w:b/>
          <w:bCs/>
          <w:sz w:val="36"/>
          <w:lang w:val="en-US" w:eastAsia="zh-CN"/>
        </w:rPr>
        <w:t>06</w:t>
      </w:r>
      <w:r>
        <w:rPr>
          <w:rFonts w:hint="eastAsia" w:ascii="宋体" w:hAnsi="宋体" w:eastAsia="宋体" w:cs="Times New Roman"/>
          <w:b/>
          <w:bCs/>
          <w:sz w:val="36"/>
          <w:lang w:val="en-US" w:eastAsia="zh-CN"/>
        </w:rPr>
        <w:t>月</w:t>
      </w:r>
    </w:p>
    <w:p>
      <w:pPr>
        <w:spacing w:line="480" w:lineRule="auto"/>
        <w:jc w:val="both"/>
        <w:rPr>
          <w:rFonts w:hint="eastAsia" w:ascii="宋体" w:hAnsi="宋体" w:cs="宋体"/>
          <w:bCs/>
          <w:kern w:val="28"/>
          <w:sz w:val="28"/>
          <w:szCs w:val="28"/>
        </w:rPr>
      </w:pPr>
    </w:p>
    <w:p>
      <w:pPr>
        <w:pStyle w:val="8"/>
        <w:rPr>
          <w:rFonts w:hint="eastAsia"/>
        </w:rPr>
      </w:pPr>
    </w:p>
    <w:p>
      <w:pPr>
        <w:spacing w:before="0" w:beforeLines="0" w:after="0" w:afterLines="0" w:line="240" w:lineRule="auto"/>
        <w:ind w:left="0" w:leftChars="0" w:right="0" w:rightChars="0" w:firstLine="0" w:firstLineChars="0"/>
        <w:jc w:val="center"/>
        <w:rPr>
          <w:rFonts w:hint="eastAsia" w:ascii="宋体" w:hAnsi="宋体" w:cs="Times New Roman"/>
          <w:b/>
          <w:bCs/>
          <w:sz w:val="44"/>
          <w:szCs w:val="44"/>
        </w:rPr>
      </w:pPr>
    </w:p>
    <w:p>
      <w:pPr>
        <w:spacing w:before="0" w:beforeLines="0" w:after="0" w:afterLines="0" w:line="240" w:lineRule="auto"/>
        <w:ind w:left="0" w:leftChars="0" w:right="0" w:rightChars="0" w:firstLine="0" w:firstLineChars="0"/>
        <w:jc w:val="center"/>
        <w:rPr>
          <w:rFonts w:hint="eastAsia" w:ascii="宋体" w:hAnsi="宋体" w:cs="Times New Roman"/>
          <w:b/>
          <w:bCs/>
          <w:sz w:val="44"/>
          <w:szCs w:val="44"/>
        </w:rPr>
      </w:pPr>
      <w:r>
        <w:rPr>
          <w:rFonts w:hint="eastAsia" w:ascii="宋体" w:hAnsi="宋体" w:cs="Times New Roman"/>
          <w:b/>
          <w:bCs/>
          <w:sz w:val="44"/>
          <w:szCs w:val="44"/>
        </w:rPr>
        <w:t>目</w:t>
      </w:r>
      <w:r>
        <w:rPr>
          <w:rFonts w:hint="eastAsia" w:ascii="宋体" w:hAnsi="宋体" w:cs="Times New Roman"/>
          <w:b/>
          <w:bCs/>
          <w:sz w:val="44"/>
          <w:szCs w:val="44"/>
          <w:lang w:val="en-US" w:eastAsia="zh-CN"/>
        </w:rPr>
        <w:t xml:space="preserve">    </w:t>
      </w:r>
      <w:r>
        <w:rPr>
          <w:rFonts w:hint="eastAsia" w:ascii="宋体" w:hAnsi="宋体" w:cs="Times New Roman"/>
          <w:b/>
          <w:bCs/>
          <w:sz w:val="44"/>
          <w:szCs w:val="44"/>
        </w:rPr>
        <w:t>录</w:t>
      </w:r>
    </w:p>
    <w:p>
      <w:pPr>
        <w:pStyle w:val="8"/>
      </w:pP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b/>
          <w:bCs/>
          <w:sz w:val="28"/>
          <w:szCs w:val="28"/>
        </w:rPr>
        <w:fldChar w:fldCharType="begin"/>
      </w:r>
      <w:r>
        <w:rPr>
          <w:b/>
          <w:bCs/>
          <w:sz w:val="28"/>
          <w:szCs w:val="28"/>
        </w:rPr>
        <w:instrText xml:space="preserve">TOC \o "1-1" \h \u </w:instrText>
      </w:r>
      <w:r>
        <w:rPr>
          <w:b/>
          <w:bCs/>
          <w:sz w:val="28"/>
          <w:szCs w:val="28"/>
        </w:rPr>
        <w:fldChar w:fldCharType="separate"/>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_Toc25509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1 编制依据</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_Toc25509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1</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_Toc25472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2 应急组织机构及其职责</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_Toc25472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1</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_Toc6278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3危急事件的预防</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_Toc6278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2</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_Toc18593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3.1  触电事件的预防</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_Toc18593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2</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_Toc17403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3.2  火灾事故的预防</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_Toc17403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2</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_Toc862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3.3  食物中毒事故的预防</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_Toc862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3</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_Toc29586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3.4  施工现场人员伤亡事故的预防</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_Toc29586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3</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_Toc4047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3.5 交通事故的预防</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_Toc4047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8</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_Toc19648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3.6 现场应急处置方案的启动</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_Toc19648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8</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3.7大风、大雾、雨雪、低温结冰天气安全措施</w:t>
      </w:r>
      <w:r>
        <w:rPr>
          <w:rFonts w:hint="eastAsia" w:ascii="宋体" w:hAnsi="宋体" w:cs="Times New Roman"/>
          <w:b/>
          <w:bCs/>
          <w:kern w:val="2"/>
          <w:sz w:val="28"/>
          <w:szCs w:val="28"/>
          <w:lang w:val="en-US" w:eastAsia="zh-CN" w:bidi="ar-SA"/>
        </w:rPr>
        <w:t>............................8</w:t>
      </w: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_Toc6247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4应急救援措施</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_Toc6247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8</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HYPERLINK \l _Toc18353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5演练计划</w:t>
      </w:r>
      <w:r>
        <w:rPr>
          <w:rFonts w:hint="eastAsia" w:ascii="宋体" w:hAnsi="宋体" w:eastAsia="宋体" w:cs="Times New Roman"/>
          <w:b/>
          <w:bCs/>
          <w:kern w:val="2"/>
          <w:sz w:val="28"/>
          <w:szCs w:val="28"/>
          <w:lang w:val="en-US" w:eastAsia="zh-CN" w:bidi="ar-SA"/>
        </w:rPr>
        <w:tab/>
      </w:r>
      <w:r>
        <w:rPr>
          <w:rFonts w:hint="eastAsia" w:ascii="宋体" w:hAnsi="宋体" w:eastAsia="宋体" w:cs="Times New Roman"/>
          <w:b/>
          <w:bCs/>
          <w:kern w:val="2"/>
          <w:sz w:val="28"/>
          <w:szCs w:val="28"/>
          <w:lang w:val="en-US" w:eastAsia="zh-CN" w:bidi="ar-SA"/>
        </w:rPr>
        <w:fldChar w:fldCharType="begin"/>
      </w:r>
      <w:r>
        <w:rPr>
          <w:rFonts w:hint="eastAsia" w:ascii="宋体" w:hAnsi="宋体" w:eastAsia="宋体" w:cs="Times New Roman"/>
          <w:b/>
          <w:bCs/>
          <w:kern w:val="2"/>
          <w:sz w:val="28"/>
          <w:szCs w:val="28"/>
          <w:lang w:val="en-US" w:eastAsia="zh-CN" w:bidi="ar-SA"/>
        </w:rPr>
        <w:instrText xml:space="preserve"> PAGEREF _Toc18353 \h </w:instrText>
      </w:r>
      <w:r>
        <w:rPr>
          <w:rFonts w:hint="eastAsia" w:ascii="宋体" w:hAnsi="宋体" w:eastAsia="宋体" w:cs="Times New Roman"/>
          <w:b/>
          <w:bCs/>
          <w:kern w:val="2"/>
          <w:sz w:val="28"/>
          <w:szCs w:val="28"/>
          <w:lang w:val="en-US" w:eastAsia="zh-CN" w:bidi="ar-SA"/>
        </w:rPr>
        <w:fldChar w:fldCharType="separate"/>
      </w:r>
      <w:r>
        <w:rPr>
          <w:rFonts w:hint="eastAsia" w:ascii="宋体" w:hAnsi="宋体" w:eastAsia="宋体" w:cs="Times New Roman"/>
          <w:b/>
          <w:bCs/>
          <w:kern w:val="2"/>
          <w:sz w:val="28"/>
          <w:szCs w:val="28"/>
          <w:lang w:val="en-US" w:eastAsia="zh-CN" w:bidi="ar-SA"/>
        </w:rPr>
        <w:t>10</w:t>
      </w:r>
      <w:r>
        <w:rPr>
          <w:rFonts w:hint="eastAsia" w:ascii="宋体" w:hAnsi="宋体" w:eastAsia="宋体" w:cs="Times New Roman"/>
          <w:b/>
          <w:bCs/>
          <w:kern w:val="2"/>
          <w:sz w:val="28"/>
          <w:szCs w:val="28"/>
          <w:lang w:val="en-US" w:eastAsia="zh-CN" w:bidi="ar-SA"/>
        </w:rPr>
        <w:fldChar w:fldCharType="end"/>
      </w:r>
      <w:r>
        <w:rPr>
          <w:rFonts w:hint="eastAsia" w:ascii="宋体" w:hAnsi="宋体" w:eastAsia="宋体" w:cs="Times New Roman"/>
          <w:b/>
          <w:bCs/>
          <w:kern w:val="2"/>
          <w:sz w:val="28"/>
          <w:szCs w:val="28"/>
          <w:lang w:val="en-US" w:eastAsia="zh-CN" w:bidi="ar-SA"/>
        </w:rPr>
        <w:fldChar w:fldCharType="end"/>
      </w:r>
    </w:p>
    <w:p>
      <w:pPr>
        <w:pStyle w:val="5"/>
        <w:tabs>
          <w:tab w:val="right" w:leader="dot" w:pos="9639"/>
        </w:tabs>
        <w:spacing w:line="360" w:lineRule="auto"/>
        <w:rPr>
          <w:b/>
          <w:bCs/>
          <w:sz w:val="28"/>
          <w:szCs w:val="28"/>
        </w:rPr>
      </w:pPr>
    </w:p>
    <w:p>
      <w:pPr>
        <w:spacing w:line="360" w:lineRule="auto"/>
      </w:pPr>
      <w:r>
        <w:rPr>
          <w:b/>
          <w:bCs/>
          <w:sz w:val="28"/>
          <w:szCs w:val="28"/>
        </w:rPr>
        <w:fldChar w:fldCharType="end"/>
      </w:r>
    </w:p>
    <w:p>
      <w:pPr>
        <w:spacing w:line="276" w:lineRule="auto"/>
        <w:rPr>
          <w:rFonts w:ascii="宋体"/>
          <w:sz w:val="30"/>
          <w:szCs w:val="30"/>
        </w:rPr>
      </w:pPr>
      <w:r>
        <w:rPr>
          <w:rFonts w:ascii="宋体"/>
          <w:color w:val="000000"/>
          <w:kern w:val="21"/>
          <w:sz w:val="30"/>
          <w:szCs w:val="30"/>
        </w:rPr>
        <w:tab/>
      </w:r>
    </w:p>
    <w:p>
      <w:pPr>
        <w:tabs>
          <w:tab w:val="center" w:leader="middleDot" w:pos="9450"/>
        </w:tabs>
        <w:topLinePunct/>
        <w:spacing w:line="720" w:lineRule="auto"/>
        <w:rPr>
          <w:rFonts w:ascii="宋体"/>
          <w:color w:val="000000"/>
          <w:kern w:val="21"/>
          <w:sz w:val="30"/>
          <w:szCs w:val="30"/>
        </w:rPr>
      </w:pPr>
    </w:p>
    <w:p>
      <w:pPr>
        <w:keepNext w:val="0"/>
        <w:keepLines w:val="0"/>
        <w:pageBreakBefore w:val="0"/>
        <w:kinsoku/>
        <w:wordWrap/>
        <w:overflowPunct/>
        <w:topLinePunct/>
        <w:bidi w:val="0"/>
        <w:adjustRightInd/>
        <w:spacing w:line="360" w:lineRule="auto"/>
        <w:textAlignment w:val="auto"/>
        <w:rPr>
          <w:rFonts w:ascii="宋体" w:hAnsi="宋体"/>
          <w:b/>
          <w:color w:val="000000"/>
          <w:kern w:val="21"/>
          <w:sz w:val="24"/>
        </w:rPr>
        <w:sectPr>
          <w:pgSz w:w="11906" w:h="16838"/>
          <w:pgMar w:top="1417" w:right="850" w:bottom="850" w:left="1417" w:header="851" w:footer="992" w:gutter="0"/>
          <w:cols w:space="720" w:num="1"/>
          <w:docGrid w:type="lines" w:linePitch="312" w:charSpace="0"/>
        </w:sectPr>
      </w:pPr>
    </w:p>
    <w:p>
      <w:pPr>
        <w:keepNext w:val="0"/>
        <w:keepLines w:val="0"/>
        <w:pageBreakBefore w:val="0"/>
        <w:kinsoku/>
        <w:wordWrap/>
        <w:overflowPunct/>
        <w:topLinePunct/>
        <w:bidi w:val="0"/>
        <w:adjustRightInd/>
        <w:spacing w:line="360" w:lineRule="auto"/>
        <w:textAlignment w:val="auto"/>
        <w:outlineLvl w:val="0"/>
        <w:rPr>
          <w:rFonts w:ascii="宋体"/>
          <w:b/>
          <w:color w:val="000000"/>
          <w:kern w:val="21"/>
          <w:sz w:val="24"/>
        </w:rPr>
      </w:pPr>
      <w:bookmarkStart w:id="0" w:name="_Toc25509"/>
      <w:r>
        <w:rPr>
          <w:rFonts w:ascii="宋体" w:hAnsi="宋体"/>
          <w:b/>
          <w:color w:val="000000"/>
          <w:kern w:val="21"/>
          <w:sz w:val="24"/>
        </w:rPr>
        <w:t xml:space="preserve">1 </w:t>
      </w:r>
      <w:r>
        <w:rPr>
          <w:rFonts w:hint="eastAsia" w:ascii="宋体" w:hAnsi="宋体"/>
          <w:b/>
          <w:color w:val="000000"/>
          <w:kern w:val="21"/>
          <w:sz w:val="24"/>
        </w:rPr>
        <w:t>编制依据</w:t>
      </w:r>
      <w:bookmarkEnd w:id="0"/>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1</w:t>
      </w:r>
      <w:r>
        <w:rPr>
          <w:rFonts w:hint="eastAsia" w:ascii="宋体" w:hAnsi="宋体"/>
          <w:sz w:val="24"/>
        </w:rPr>
        <w:t>）工程建设施工监理合同。</w:t>
      </w:r>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2</w:t>
      </w:r>
      <w:r>
        <w:rPr>
          <w:rFonts w:hint="eastAsia" w:ascii="宋体" w:hAnsi="宋体"/>
          <w:sz w:val="24"/>
        </w:rPr>
        <w:t>）本工程的监理规划。</w:t>
      </w:r>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3</w:t>
      </w:r>
      <w:r>
        <w:rPr>
          <w:rFonts w:hint="eastAsia" w:ascii="宋体" w:hAnsi="宋体"/>
          <w:sz w:val="24"/>
        </w:rPr>
        <w:t>）本工程项目法人与施工项目部的工程建设合同。</w:t>
      </w:r>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4</w:t>
      </w:r>
      <w:r>
        <w:rPr>
          <w:rFonts w:hint="eastAsia" w:ascii="宋体" w:hAnsi="宋体"/>
          <w:sz w:val="24"/>
        </w:rPr>
        <w:t>）《中华人民共和国安全生产法》；</w:t>
      </w:r>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5</w:t>
      </w:r>
      <w:r>
        <w:rPr>
          <w:rFonts w:hint="eastAsia" w:ascii="宋体" w:hAnsi="宋体"/>
          <w:sz w:val="24"/>
        </w:rPr>
        <w:t>）《建设工程监理规范》</w:t>
      </w:r>
      <w:r>
        <w:rPr>
          <w:rFonts w:ascii="宋体" w:hAnsi="宋体"/>
          <w:sz w:val="24"/>
        </w:rPr>
        <w:t>GB/T50319-20</w:t>
      </w:r>
      <w:r>
        <w:rPr>
          <w:rFonts w:hint="eastAsia" w:ascii="宋体" w:hAnsi="宋体"/>
          <w:sz w:val="24"/>
          <w:lang w:val="en-US" w:eastAsia="zh-CN"/>
        </w:rPr>
        <w:t>21</w:t>
      </w:r>
      <w:r>
        <w:rPr>
          <w:rFonts w:hint="eastAsia" w:ascii="宋体" w:hAnsi="宋体"/>
          <w:sz w:val="24"/>
        </w:rPr>
        <w:t>；</w:t>
      </w:r>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6</w:t>
      </w:r>
      <w:r>
        <w:rPr>
          <w:rFonts w:hint="eastAsia" w:ascii="宋体" w:hAnsi="宋体"/>
          <w:sz w:val="24"/>
        </w:rPr>
        <w:t>）《电力安全监察规定》电安生（</w:t>
      </w:r>
      <w:r>
        <w:rPr>
          <w:rFonts w:ascii="宋体" w:hAnsi="宋体"/>
          <w:sz w:val="24"/>
        </w:rPr>
        <w:t>1995</w:t>
      </w:r>
      <w:r>
        <w:rPr>
          <w:rFonts w:hint="eastAsia" w:ascii="宋体" w:hAnsi="宋体"/>
          <w:sz w:val="24"/>
        </w:rPr>
        <w:t>）</w:t>
      </w:r>
      <w:r>
        <w:rPr>
          <w:rFonts w:ascii="宋体" w:hAnsi="宋体"/>
          <w:sz w:val="24"/>
        </w:rPr>
        <w:t>687</w:t>
      </w:r>
      <w:r>
        <w:rPr>
          <w:rFonts w:hint="eastAsia" w:ascii="宋体" w:hAnsi="宋体"/>
          <w:sz w:val="24"/>
        </w:rPr>
        <w:t>号；</w:t>
      </w:r>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7</w:t>
      </w:r>
      <w:r>
        <w:rPr>
          <w:rFonts w:hint="eastAsia" w:ascii="宋体" w:hAnsi="宋体"/>
          <w:sz w:val="24"/>
        </w:rPr>
        <w:t>）《实施工程建设强制性标准监督规定》（建设部</w:t>
      </w:r>
      <w:r>
        <w:rPr>
          <w:rFonts w:ascii="宋体" w:hAnsi="宋体"/>
          <w:sz w:val="24"/>
        </w:rPr>
        <w:t xml:space="preserve"> 81 </w:t>
      </w:r>
      <w:r>
        <w:rPr>
          <w:rFonts w:hint="eastAsia" w:ascii="宋体" w:hAnsi="宋体"/>
          <w:sz w:val="24"/>
        </w:rPr>
        <w:t>号令）；</w:t>
      </w:r>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8</w:t>
      </w:r>
      <w:r>
        <w:rPr>
          <w:rFonts w:hint="eastAsia" w:ascii="宋体" w:hAnsi="宋体"/>
          <w:sz w:val="24"/>
        </w:rPr>
        <w:t>）《工程建设标准强制性条文》（电力工程部分）（</w:t>
      </w:r>
      <w:r>
        <w:rPr>
          <w:rFonts w:ascii="宋体" w:hAnsi="宋体"/>
          <w:sz w:val="24"/>
        </w:rPr>
        <w:t>20</w:t>
      </w:r>
      <w:r>
        <w:rPr>
          <w:rFonts w:hint="eastAsia" w:ascii="宋体" w:hAnsi="宋体"/>
          <w:sz w:val="24"/>
          <w:lang w:val="en-US" w:eastAsia="zh-CN"/>
        </w:rPr>
        <w:t>1</w:t>
      </w:r>
      <w:r>
        <w:rPr>
          <w:rFonts w:ascii="宋体" w:hAnsi="宋体"/>
          <w:sz w:val="24"/>
        </w:rPr>
        <w:t>6</w:t>
      </w:r>
      <w:r>
        <w:rPr>
          <w:rFonts w:hint="eastAsia" w:ascii="宋体" w:hAnsi="宋体"/>
          <w:sz w:val="24"/>
        </w:rPr>
        <w:t>版）；</w:t>
      </w:r>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9</w:t>
      </w:r>
      <w:r>
        <w:rPr>
          <w:rFonts w:hint="eastAsia" w:ascii="宋体" w:hAnsi="宋体"/>
          <w:sz w:val="24"/>
        </w:rPr>
        <w:t>）《安全生产监督规定》国电总</w:t>
      </w:r>
      <w:r>
        <w:rPr>
          <w:rFonts w:ascii="宋体" w:hAnsi="宋体"/>
          <w:sz w:val="24"/>
        </w:rPr>
        <w:t>[2001]793</w:t>
      </w:r>
      <w:r>
        <w:rPr>
          <w:rFonts w:hint="eastAsia" w:ascii="宋体" w:hAnsi="宋体"/>
          <w:sz w:val="24"/>
        </w:rPr>
        <w:t>号；</w:t>
      </w:r>
    </w:p>
    <w:p>
      <w:pPr>
        <w:keepNext w:val="0"/>
        <w:keepLines w:val="0"/>
        <w:pageBreakBefore w:val="0"/>
        <w:kinsoku/>
        <w:wordWrap/>
        <w:overflowPunct/>
        <w:bidi w:val="0"/>
        <w:adjustRightInd/>
        <w:spacing w:line="360" w:lineRule="auto"/>
        <w:textAlignment w:val="auto"/>
        <w:rPr>
          <w:rFonts w:ascii="宋体"/>
          <w:spacing w:val="-20"/>
          <w:sz w:val="24"/>
        </w:rPr>
      </w:pPr>
      <w:r>
        <w:rPr>
          <w:rFonts w:hint="eastAsia" w:ascii="宋体" w:hAnsi="宋体"/>
          <w:spacing w:val="-20"/>
          <w:sz w:val="24"/>
        </w:rPr>
        <w:t>（</w:t>
      </w:r>
      <w:r>
        <w:rPr>
          <w:rFonts w:ascii="宋体" w:hAnsi="宋体"/>
          <w:spacing w:val="-20"/>
          <w:sz w:val="24"/>
        </w:rPr>
        <w:t>10</w:t>
      </w:r>
      <w:r>
        <w:rPr>
          <w:rFonts w:hint="eastAsia" w:ascii="宋体" w:hAnsi="宋体"/>
          <w:spacing w:val="-20"/>
          <w:sz w:val="24"/>
        </w:rPr>
        <w:t>）</w:t>
      </w:r>
      <w:r>
        <w:rPr>
          <w:rFonts w:hint="eastAsia" w:ascii="宋体" w:hAnsi="宋体"/>
          <w:color w:val="000000"/>
          <w:kern w:val="21"/>
          <w:sz w:val="24"/>
        </w:rPr>
        <w:t>《施工现场临时用电安全技术规范》（</w:t>
      </w:r>
      <w:r>
        <w:rPr>
          <w:rFonts w:ascii="宋体" w:hAnsi="宋体"/>
          <w:color w:val="000000"/>
          <w:kern w:val="21"/>
          <w:sz w:val="24"/>
        </w:rPr>
        <w:t>JGJ46-20</w:t>
      </w:r>
      <w:r>
        <w:rPr>
          <w:rFonts w:hint="eastAsia" w:ascii="宋体" w:hAnsi="宋体"/>
          <w:color w:val="000000"/>
          <w:kern w:val="21"/>
          <w:sz w:val="24"/>
          <w:lang w:val="en-US" w:eastAsia="zh-CN"/>
        </w:rPr>
        <w:t>16</w:t>
      </w:r>
      <w:r>
        <w:rPr>
          <w:rFonts w:hint="eastAsia" w:ascii="宋体" w:hAnsi="宋体"/>
          <w:color w:val="000000"/>
          <w:kern w:val="21"/>
          <w:sz w:val="24"/>
        </w:rPr>
        <w:t>）</w:t>
      </w:r>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11</w:t>
      </w:r>
      <w:r>
        <w:rPr>
          <w:rFonts w:hint="eastAsia" w:ascii="宋体" w:hAnsi="宋体"/>
          <w:sz w:val="24"/>
        </w:rPr>
        <w:t>）《电力建设安全健康与环境管理工作规定》国电电源</w:t>
      </w:r>
      <w:r>
        <w:rPr>
          <w:rFonts w:ascii="宋体" w:hAnsi="宋体"/>
          <w:sz w:val="24"/>
        </w:rPr>
        <w:t>[2002]49</w:t>
      </w:r>
      <w:r>
        <w:rPr>
          <w:rFonts w:hint="eastAsia" w:ascii="宋体" w:hAnsi="宋体"/>
          <w:sz w:val="24"/>
        </w:rPr>
        <w:t>号；</w:t>
      </w:r>
    </w:p>
    <w:p>
      <w:pPr>
        <w:keepNext w:val="0"/>
        <w:keepLines w:val="0"/>
        <w:pageBreakBefore w:val="0"/>
        <w:kinsoku/>
        <w:wordWrap/>
        <w:overflowPunct/>
        <w:bidi w:val="0"/>
        <w:adjustRightInd/>
        <w:spacing w:line="360" w:lineRule="auto"/>
        <w:textAlignment w:val="auto"/>
        <w:rPr>
          <w:rFonts w:ascii="宋体"/>
          <w:sz w:val="24"/>
        </w:rPr>
      </w:pPr>
      <w:r>
        <w:rPr>
          <w:rFonts w:hint="eastAsia" w:ascii="宋体" w:hAnsi="宋体"/>
          <w:sz w:val="24"/>
        </w:rPr>
        <w:t>（</w:t>
      </w:r>
      <w:r>
        <w:rPr>
          <w:rFonts w:ascii="宋体" w:hAnsi="宋体"/>
          <w:sz w:val="24"/>
        </w:rPr>
        <w:t>12</w:t>
      </w:r>
      <w:r>
        <w:rPr>
          <w:rFonts w:hint="eastAsia" w:ascii="宋体" w:hAnsi="宋体"/>
          <w:sz w:val="24"/>
        </w:rPr>
        <w:t>）《建筑施工安全检查标准》</w:t>
      </w:r>
      <w:r>
        <w:rPr>
          <w:rFonts w:ascii="宋体" w:hAnsi="宋体"/>
          <w:sz w:val="24"/>
        </w:rPr>
        <w:t>JGJ59-201</w:t>
      </w:r>
      <w:r>
        <w:rPr>
          <w:rFonts w:hint="eastAsia" w:ascii="宋体" w:hAnsi="宋体"/>
          <w:sz w:val="24"/>
          <w:lang w:val="en-US" w:eastAsia="zh-CN"/>
        </w:rPr>
        <w:t>8</w:t>
      </w:r>
      <w:r>
        <w:rPr>
          <w:rFonts w:hint="eastAsia" w:ascii="宋体" w:hAnsi="宋体"/>
          <w:sz w:val="24"/>
        </w:rPr>
        <w:t>；</w:t>
      </w:r>
    </w:p>
    <w:p>
      <w:pPr>
        <w:keepNext w:val="0"/>
        <w:keepLines w:val="0"/>
        <w:pageBreakBefore w:val="0"/>
        <w:kinsoku/>
        <w:wordWrap/>
        <w:overflowPunct/>
        <w:topLinePunct/>
        <w:bidi w:val="0"/>
        <w:adjustRightInd/>
        <w:spacing w:line="360" w:lineRule="auto"/>
        <w:textAlignment w:val="auto"/>
        <w:outlineLvl w:val="0"/>
        <w:rPr>
          <w:rFonts w:ascii="宋体"/>
          <w:b/>
          <w:bCs/>
          <w:color w:val="000000"/>
          <w:kern w:val="21"/>
          <w:sz w:val="24"/>
        </w:rPr>
      </w:pPr>
      <w:bookmarkStart w:id="1" w:name="_Toc25472"/>
      <w:r>
        <w:rPr>
          <w:rFonts w:ascii="宋体" w:hAnsi="宋体"/>
          <w:b/>
          <w:bCs/>
          <w:color w:val="000000"/>
          <w:kern w:val="21"/>
          <w:sz w:val="24"/>
        </w:rPr>
        <w:t xml:space="preserve">2 </w:t>
      </w:r>
      <w:r>
        <w:rPr>
          <w:rFonts w:hint="eastAsia" w:ascii="宋体" w:hAnsi="宋体"/>
          <w:b/>
          <w:bCs/>
          <w:color w:val="000000"/>
          <w:kern w:val="21"/>
          <w:sz w:val="24"/>
        </w:rPr>
        <w:t>应急组织机构及其职责</w:t>
      </w:r>
      <w:bookmarkEnd w:id="1"/>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2.1  </w:t>
      </w:r>
      <w:r>
        <w:rPr>
          <w:rFonts w:hint="eastAsia" w:ascii="宋体" w:hAnsi="宋体"/>
          <w:color w:val="000000"/>
          <w:kern w:val="21"/>
          <w:sz w:val="24"/>
        </w:rPr>
        <w:t>应急指挥机构</w:t>
      </w:r>
    </w:p>
    <w:p>
      <w:pPr>
        <w:keepNext w:val="0"/>
        <w:keepLines w:val="0"/>
        <w:pageBreakBefore w:val="0"/>
        <w:tabs>
          <w:tab w:val="left" w:pos="6580"/>
        </w:tabs>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2.1.1  </w:t>
      </w:r>
      <w:r>
        <w:rPr>
          <w:rFonts w:hint="eastAsia" w:ascii="宋体" w:hAnsi="宋体"/>
          <w:color w:val="000000"/>
          <w:kern w:val="21"/>
          <w:sz w:val="24"/>
        </w:rPr>
        <w:t>应急救援小组</w:t>
      </w:r>
      <w:r>
        <w:rPr>
          <w:rFonts w:ascii="宋体"/>
          <w:color w:val="000000"/>
          <w:kern w:val="21"/>
          <w:sz w:val="24"/>
        </w:rPr>
        <w:tab/>
      </w:r>
    </w:p>
    <w:p>
      <w:pPr>
        <w:keepNext w:val="0"/>
        <w:keepLines w:val="0"/>
        <w:pageBreakBefore w:val="0"/>
        <w:kinsoku/>
        <w:wordWrap/>
        <w:overflowPunct/>
        <w:topLinePunct/>
        <w:bidi w:val="0"/>
        <w:adjustRightInd/>
        <w:spacing w:line="360" w:lineRule="auto"/>
        <w:ind w:firstLine="480" w:firstLineChars="200"/>
        <w:textAlignment w:val="auto"/>
        <w:rPr>
          <w:rFonts w:hint="default" w:ascii="宋体" w:eastAsia="宋体"/>
          <w:color w:val="000000"/>
          <w:kern w:val="21"/>
          <w:sz w:val="24"/>
          <w:lang w:val="en-US" w:eastAsia="zh-CN"/>
        </w:rPr>
      </w:pPr>
      <w:r>
        <w:rPr>
          <w:rFonts w:hint="eastAsia" w:ascii="宋体" w:hAnsi="宋体"/>
          <w:color w:val="000000"/>
          <w:kern w:val="21"/>
          <w:sz w:val="24"/>
        </w:rPr>
        <w:t>组</w:t>
      </w:r>
      <w:r>
        <w:rPr>
          <w:rFonts w:ascii="宋体" w:hAnsi="宋体"/>
          <w:color w:val="000000"/>
          <w:kern w:val="21"/>
          <w:sz w:val="24"/>
        </w:rPr>
        <w:t xml:space="preserve">  </w:t>
      </w:r>
      <w:r>
        <w:rPr>
          <w:rFonts w:hint="eastAsia" w:ascii="宋体" w:hAnsi="宋体"/>
          <w:color w:val="000000"/>
          <w:kern w:val="21"/>
          <w:sz w:val="24"/>
        </w:rPr>
        <w:t>长：</w:t>
      </w:r>
      <w:r>
        <w:rPr>
          <w:rFonts w:hint="eastAsia" w:ascii="宋体" w:hAnsi="宋体"/>
          <w:color w:val="000000"/>
          <w:kern w:val="21"/>
          <w:sz w:val="24"/>
          <w:lang w:val="en-US" w:eastAsia="zh-CN"/>
        </w:rPr>
        <w:t>朱友军</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成</w:t>
      </w:r>
      <w:r>
        <w:rPr>
          <w:rFonts w:ascii="宋体" w:hAnsi="宋体"/>
          <w:color w:val="000000"/>
          <w:kern w:val="21"/>
          <w:sz w:val="24"/>
        </w:rPr>
        <w:t xml:space="preserve">  </w:t>
      </w:r>
      <w:r>
        <w:rPr>
          <w:rFonts w:hint="eastAsia" w:ascii="宋体" w:hAnsi="宋体"/>
          <w:color w:val="000000"/>
          <w:kern w:val="21"/>
          <w:sz w:val="24"/>
        </w:rPr>
        <w:t>员：</w:t>
      </w:r>
      <w:r>
        <w:rPr>
          <w:rFonts w:hint="eastAsia" w:ascii="宋体" w:hAnsi="宋体"/>
          <w:color w:val="000000"/>
          <w:kern w:val="21"/>
          <w:sz w:val="24"/>
          <w:lang w:eastAsia="zh-CN"/>
        </w:rPr>
        <w:t>各参建单位负责人</w:t>
      </w:r>
      <w:r>
        <w:rPr>
          <w:rFonts w:ascii="宋体" w:hAnsi="宋体"/>
          <w:color w:val="000000"/>
          <w:kern w:val="21"/>
          <w:sz w:val="24"/>
        </w:rPr>
        <w:t xml:space="preserve">   </w:t>
      </w:r>
    </w:p>
    <w:p>
      <w:pPr>
        <w:pStyle w:val="9"/>
        <w:keepNext w:val="0"/>
        <w:keepLines w:val="0"/>
        <w:pageBreakBefore w:val="0"/>
        <w:kinsoku/>
        <w:wordWrap/>
        <w:overflowPunct/>
        <w:bidi w:val="0"/>
        <w:adjustRightInd/>
        <w:spacing w:line="360" w:lineRule="auto"/>
        <w:ind w:firstLine="345" w:firstLineChars="144"/>
        <w:textAlignment w:val="auto"/>
        <w:rPr>
          <w:rFonts w:hAnsi="宋体"/>
          <w:color w:val="000000"/>
          <w:kern w:val="21"/>
          <w:sz w:val="24"/>
          <w:szCs w:val="24"/>
          <w:lang w:val="en-BZ"/>
        </w:rPr>
      </w:pPr>
      <w:r>
        <w:rPr>
          <w:rFonts w:hint="eastAsia" w:hAnsi="宋体"/>
          <w:color w:val="000000"/>
          <w:kern w:val="21"/>
          <w:sz w:val="24"/>
          <w:szCs w:val="24"/>
          <w:lang w:val="en-BZ"/>
        </w:rPr>
        <w:t>本工程发生紧急事件后本着就近强救的原则，受伤人员及时送往最近的医院。</w:t>
      </w:r>
    </w:p>
    <w:p>
      <w:pPr>
        <w:pStyle w:val="9"/>
        <w:keepNext w:val="0"/>
        <w:keepLines w:val="0"/>
        <w:pageBreakBefore w:val="0"/>
        <w:kinsoku/>
        <w:wordWrap/>
        <w:overflowPunct/>
        <w:bidi w:val="0"/>
        <w:adjustRightInd/>
        <w:spacing w:line="360" w:lineRule="auto"/>
        <w:ind w:firstLine="345" w:firstLineChars="144"/>
        <w:textAlignment w:val="auto"/>
        <w:rPr>
          <w:rFonts w:hAnsi="宋体"/>
          <w:color w:val="000000"/>
          <w:kern w:val="21"/>
          <w:sz w:val="24"/>
          <w:szCs w:val="24"/>
          <w:lang w:val="en-BZ"/>
        </w:rPr>
      </w:pPr>
      <w:r>
        <w:rPr>
          <w:rFonts w:hint="eastAsia" w:hAnsi="宋体"/>
          <w:color w:val="000000"/>
          <w:kern w:val="21"/>
          <w:sz w:val="24"/>
          <w:szCs w:val="24"/>
          <w:lang w:val="en-BZ"/>
        </w:rPr>
        <w:t>火警电话：</w:t>
      </w:r>
      <w:r>
        <w:rPr>
          <w:rFonts w:hAnsi="宋体"/>
          <w:color w:val="000000"/>
          <w:kern w:val="21"/>
          <w:sz w:val="24"/>
          <w:szCs w:val="24"/>
          <w:lang w:val="en-BZ"/>
        </w:rPr>
        <w:t>119</w:t>
      </w:r>
    </w:p>
    <w:p>
      <w:pPr>
        <w:pStyle w:val="9"/>
        <w:keepNext w:val="0"/>
        <w:keepLines w:val="0"/>
        <w:pageBreakBefore w:val="0"/>
        <w:kinsoku/>
        <w:wordWrap/>
        <w:overflowPunct/>
        <w:bidi w:val="0"/>
        <w:adjustRightInd/>
        <w:spacing w:line="360" w:lineRule="auto"/>
        <w:ind w:firstLine="316" w:firstLineChars="132"/>
        <w:textAlignment w:val="auto"/>
        <w:rPr>
          <w:rFonts w:hAnsi="宋体"/>
          <w:color w:val="000000"/>
          <w:kern w:val="21"/>
          <w:sz w:val="24"/>
          <w:szCs w:val="24"/>
          <w:lang w:val="en-BZ"/>
        </w:rPr>
      </w:pPr>
      <w:r>
        <w:rPr>
          <w:rFonts w:hint="eastAsia" w:hAnsi="宋体"/>
          <w:color w:val="000000"/>
          <w:kern w:val="21"/>
          <w:sz w:val="24"/>
          <w:szCs w:val="24"/>
          <w:lang w:val="en-BZ"/>
        </w:rPr>
        <w:t>医院电话：急救中心</w:t>
      </w:r>
      <w:r>
        <w:rPr>
          <w:rFonts w:hAnsi="宋体"/>
          <w:color w:val="000000"/>
          <w:kern w:val="21"/>
          <w:sz w:val="24"/>
          <w:szCs w:val="24"/>
          <w:lang w:val="en-BZ"/>
        </w:rPr>
        <w:t>120</w:t>
      </w:r>
    </w:p>
    <w:p>
      <w:pPr>
        <w:pStyle w:val="9"/>
        <w:keepNext w:val="0"/>
        <w:keepLines w:val="0"/>
        <w:pageBreakBefore w:val="0"/>
        <w:kinsoku/>
        <w:wordWrap/>
        <w:overflowPunct/>
        <w:bidi w:val="0"/>
        <w:adjustRightInd/>
        <w:spacing w:line="360" w:lineRule="auto"/>
        <w:ind w:firstLine="345" w:firstLineChars="144"/>
        <w:textAlignment w:val="auto"/>
        <w:rPr>
          <w:rFonts w:hAnsi="宋体"/>
          <w:color w:val="000000"/>
          <w:kern w:val="21"/>
          <w:sz w:val="24"/>
          <w:szCs w:val="24"/>
          <w:lang w:val="en-BZ"/>
        </w:rPr>
      </w:pPr>
      <w:r>
        <w:rPr>
          <w:rFonts w:hint="eastAsia" w:hAnsi="宋体"/>
          <w:color w:val="000000"/>
          <w:kern w:val="21"/>
          <w:sz w:val="24"/>
          <w:szCs w:val="24"/>
          <w:lang w:val="en-BZ"/>
        </w:rPr>
        <w:t>匪警电话：</w:t>
      </w:r>
      <w:r>
        <w:rPr>
          <w:rFonts w:hAnsi="宋体"/>
          <w:color w:val="000000"/>
          <w:kern w:val="21"/>
          <w:sz w:val="24"/>
          <w:szCs w:val="24"/>
          <w:lang w:val="en-BZ"/>
        </w:rPr>
        <w:t>110</w:t>
      </w:r>
    </w:p>
    <w:p>
      <w:pPr>
        <w:pStyle w:val="9"/>
        <w:keepNext w:val="0"/>
        <w:keepLines w:val="0"/>
        <w:pageBreakBefore w:val="0"/>
        <w:kinsoku/>
        <w:wordWrap/>
        <w:overflowPunct/>
        <w:bidi w:val="0"/>
        <w:adjustRightInd/>
        <w:spacing w:line="360" w:lineRule="auto"/>
        <w:ind w:firstLine="345" w:firstLineChars="144"/>
        <w:textAlignment w:val="auto"/>
        <w:rPr>
          <w:rFonts w:hAnsi="宋体"/>
          <w:color w:val="000000"/>
          <w:kern w:val="21"/>
          <w:sz w:val="24"/>
          <w:szCs w:val="24"/>
          <w:lang w:val="en-BZ"/>
        </w:rPr>
      </w:pPr>
      <w:r>
        <w:rPr>
          <w:rFonts w:hint="eastAsia" w:hAnsi="宋体"/>
          <w:color w:val="000000"/>
          <w:kern w:val="21"/>
          <w:sz w:val="24"/>
          <w:szCs w:val="24"/>
          <w:lang w:val="en-BZ"/>
        </w:rPr>
        <w:t>交通事故报警：</w:t>
      </w:r>
      <w:r>
        <w:rPr>
          <w:rFonts w:hAnsi="宋体"/>
          <w:color w:val="000000"/>
          <w:kern w:val="21"/>
          <w:sz w:val="24"/>
          <w:szCs w:val="24"/>
          <w:lang w:val="en-BZ"/>
        </w:rPr>
        <w:t>122</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2.2  </w:t>
      </w:r>
      <w:r>
        <w:rPr>
          <w:rFonts w:hint="eastAsia" w:ascii="宋体" w:hAnsi="宋体"/>
          <w:color w:val="000000"/>
          <w:kern w:val="21"/>
          <w:sz w:val="24"/>
        </w:rPr>
        <w:t>应急救援组长职责：</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）事故发生后，成立现场指挥部，批准现场救援方案，组织现场抢救。按事故的性质程度，负责向公司领导、地方政府及上级主管部门报告事故情况和事故处理情况。</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）负责组织定期进行事故应急救援演练。</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2.3  </w:t>
      </w:r>
      <w:r>
        <w:rPr>
          <w:rFonts w:hint="eastAsia" w:ascii="宋体" w:hAnsi="宋体"/>
          <w:color w:val="000000"/>
          <w:kern w:val="21"/>
          <w:sz w:val="24"/>
        </w:rPr>
        <w:t>应急救援小组成员职责：</w:t>
      </w:r>
    </w:p>
    <w:p>
      <w:pPr>
        <w:pStyle w:val="10"/>
        <w:keepNext w:val="0"/>
        <w:keepLines w:val="0"/>
        <w:pageBreakBefore w:val="0"/>
        <w:numPr>
          <w:ilvl w:val="0"/>
          <w:numId w:val="0"/>
        </w:numPr>
        <w:kinsoku/>
        <w:wordWrap/>
        <w:overflowPunct/>
        <w:bidi w:val="0"/>
        <w:adjustRightInd/>
        <w:spacing w:line="360" w:lineRule="auto"/>
        <w:ind w:left="1020" w:leftChars="200" w:hanging="600" w:hangingChars="250"/>
        <w:textAlignment w:val="auto"/>
        <w:rPr>
          <w:rFonts w:ascii="宋体" w:hAnsi="宋体" w:eastAsia="宋体"/>
          <w:color w:val="000000"/>
          <w:kern w:val="21"/>
          <w:sz w:val="24"/>
          <w:szCs w:val="24"/>
          <w:lang w:val="en-BZ"/>
        </w:rPr>
      </w:pPr>
      <w:bookmarkStart w:id="2" w:name="_Toc200774850"/>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w:t>
      </w:r>
      <w:r>
        <w:rPr>
          <w:rFonts w:hint="eastAsia" w:ascii="宋体" w:hAnsi="宋体" w:eastAsia="宋体"/>
          <w:color w:val="000000"/>
          <w:kern w:val="21"/>
          <w:sz w:val="24"/>
          <w:szCs w:val="24"/>
          <w:lang w:val="en-BZ"/>
        </w:rPr>
        <w:t>）负责在紧急情况发生时，组织协调各相关部门作出应急响应，并将有关情况向公司汇报。</w:t>
      </w:r>
      <w:bookmarkEnd w:id="2"/>
    </w:p>
    <w:p>
      <w:pPr>
        <w:pStyle w:val="10"/>
        <w:keepNext w:val="0"/>
        <w:keepLines w:val="0"/>
        <w:pageBreakBefore w:val="0"/>
        <w:numPr>
          <w:ilvl w:val="0"/>
          <w:numId w:val="0"/>
        </w:numPr>
        <w:kinsoku/>
        <w:wordWrap/>
        <w:overflowPunct/>
        <w:bidi w:val="0"/>
        <w:adjustRightInd/>
        <w:spacing w:line="360" w:lineRule="auto"/>
        <w:textAlignment w:val="auto"/>
        <w:rPr>
          <w:rFonts w:ascii="宋体" w:hAnsi="宋体" w:eastAsia="宋体"/>
          <w:color w:val="000000"/>
          <w:kern w:val="21"/>
          <w:sz w:val="24"/>
          <w:szCs w:val="24"/>
          <w:lang w:val="en-BZ"/>
        </w:rPr>
      </w:pPr>
      <w:bookmarkStart w:id="3" w:name="_Toc200774851"/>
      <w:r>
        <w:rPr>
          <w:rFonts w:ascii="宋体" w:hAnsi="宋体" w:eastAsia="宋体"/>
          <w:color w:val="000000"/>
          <w:kern w:val="21"/>
          <w:sz w:val="24"/>
          <w:szCs w:val="24"/>
        </w:rPr>
        <w:t xml:space="preserve">    </w:t>
      </w:r>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2</w:t>
      </w:r>
      <w:r>
        <w:rPr>
          <w:rFonts w:hint="eastAsia" w:ascii="宋体" w:hAnsi="宋体" w:eastAsia="宋体"/>
          <w:color w:val="000000"/>
          <w:kern w:val="21"/>
          <w:sz w:val="24"/>
          <w:szCs w:val="24"/>
          <w:lang w:val="en-BZ"/>
        </w:rPr>
        <w:t>）负责对监理部环境潜在事故或紧急情况进行控制，负责本部门的应急与响应以及事故的处理工作。</w:t>
      </w:r>
      <w:bookmarkEnd w:id="3"/>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4" w:name="_Toc200774852"/>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3</w:t>
      </w:r>
      <w:r>
        <w:rPr>
          <w:rFonts w:hint="eastAsia" w:ascii="宋体" w:hAnsi="宋体" w:eastAsia="宋体"/>
          <w:color w:val="000000"/>
          <w:kern w:val="21"/>
          <w:sz w:val="24"/>
          <w:szCs w:val="24"/>
          <w:lang w:val="en-BZ"/>
        </w:rPr>
        <w:t>）所有施工现场操作和协调，包括与指挥中心的协调；</w:t>
      </w:r>
      <w:bookmarkEnd w:id="4"/>
      <w:r>
        <w:rPr>
          <w:rFonts w:hint="eastAsia" w:ascii="宋体" w:hAnsi="宋体" w:eastAsia="宋体"/>
          <w:color w:val="000000"/>
          <w:kern w:val="21"/>
          <w:sz w:val="24"/>
          <w:szCs w:val="24"/>
          <w:lang w:val="en-BZ"/>
        </w:rPr>
        <w:t>现场事故评估。</w:t>
      </w:r>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5" w:name="_Toc200774854"/>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4</w:t>
      </w:r>
      <w:r>
        <w:rPr>
          <w:rFonts w:hint="eastAsia" w:ascii="宋体" w:hAnsi="宋体" w:eastAsia="宋体"/>
          <w:color w:val="000000"/>
          <w:kern w:val="21"/>
          <w:sz w:val="24"/>
          <w:szCs w:val="24"/>
          <w:lang w:val="en-BZ"/>
        </w:rPr>
        <w:t>）保证现场人员和公众应急反应行动的执行；</w:t>
      </w:r>
      <w:bookmarkEnd w:id="5"/>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6" w:name="_Toc200774856"/>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5</w:t>
      </w:r>
      <w:r>
        <w:rPr>
          <w:rFonts w:hint="eastAsia" w:ascii="宋体" w:hAnsi="宋体" w:eastAsia="宋体"/>
          <w:color w:val="000000"/>
          <w:kern w:val="21"/>
          <w:sz w:val="24"/>
          <w:szCs w:val="24"/>
          <w:lang w:val="en-BZ"/>
        </w:rPr>
        <w:t>）做好与消防、医疗、交通管制、抢险救灾等各公共救援部门的联系；</w:t>
      </w:r>
      <w:bookmarkEnd w:id="6"/>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7" w:name="_Toc200774857"/>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6</w:t>
      </w:r>
      <w:r>
        <w:rPr>
          <w:rFonts w:hint="eastAsia" w:ascii="宋体" w:hAnsi="宋体" w:eastAsia="宋体"/>
          <w:color w:val="000000"/>
          <w:kern w:val="21"/>
          <w:sz w:val="24"/>
          <w:szCs w:val="24"/>
          <w:lang w:val="en-BZ"/>
        </w:rPr>
        <w:t>）引导现场作业人员从安全通道疏散；</w:t>
      </w:r>
      <w:bookmarkEnd w:id="7"/>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8" w:name="_Toc200774858"/>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7</w:t>
      </w:r>
      <w:r>
        <w:rPr>
          <w:rFonts w:hint="eastAsia" w:ascii="宋体" w:hAnsi="宋体" w:eastAsia="宋体"/>
          <w:color w:val="000000"/>
          <w:kern w:val="21"/>
          <w:sz w:val="24"/>
          <w:szCs w:val="24"/>
          <w:lang w:val="en-BZ"/>
        </w:rPr>
        <w:t>）对受伤人员进行营救至安全地带。</w:t>
      </w:r>
      <w:bookmarkEnd w:id="8"/>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9" w:name="_Toc200774859"/>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8</w:t>
      </w:r>
      <w:r>
        <w:rPr>
          <w:rFonts w:hint="eastAsia" w:ascii="宋体" w:hAnsi="宋体" w:eastAsia="宋体"/>
          <w:color w:val="000000"/>
          <w:kern w:val="21"/>
          <w:sz w:val="24"/>
          <w:szCs w:val="24"/>
          <w:lang w:val="en-BZ"/>
        </w:rPr>
        <w:t>）抢救可以转移的场区内物资；</w:t>
      </w:r>
      <w:bookmarkEnd w:id="9"/>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10" w:name="_Toc200774860"/>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9</w:t>
      </w:r>
      <w:r>
        <w:rPr>
          <w:rFonts w:hint="eastAsia" w:ascii="宋体" w:hAnsi="宋体" w:eastAsia="宋体"/>
          <w:color w:val="000000"/>
          <w:kern w:val="21"/>
          <w:sz w:val="24"/>
          <w:szCs w:val="24"/>
          <w:lang w:val="en-BZ"/>
        </w:rPr>
        <w:t>）转移可能引起新危险源的物资到安全地带。</w:t>
      </w:r>
      <w:bookmarkEnd w:id="10"/>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11" w:name="_Toc200774861"/>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10</w:t>
      </w:r>
      <w:r>
        <w:rPr>
          <w:rFonts w:hint="eastAsia" w:ascii="宋体" w:hAnsi="宋体" w:eastAsia="宋体"/>
          <w:color w:val="000000"/>
          <w:kern w:val="21"/>
          <w:sz w:val="24"/>
          <w:szCs w:val="24"/>
          <w:lang w:val="en-BZ"/>
        </w:rPr>
        <w:t>）应用器材进行初期的消防灭火自救工作；</w:t>
      </w:r>
      <w:bookmarkEnd w:id="11"/>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12" w:name="_Toc200774862"/>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11</w:t>
      </w:r>
      <w:r>
        <w:rPr>
          <w:rFonts w:hint="eastAsia" w:ascii="宋体" w:hAnsi="宋体" w:eastAsia="宋体"/>
          <w:color w:val="000000"/>
          <w:kern w:val="21"/>
          <w:sz w:val="24"/>
          <w:szCs w:val="24"/>
          <w:lang w:val="en-BZ"/>
        </w:rPr>
        <w:t>）协助消防部门进行消防灭火的辅助工作。</w:t>
      </w:r>
      <w:bookmarkEnd w:id="12"/>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13" w:name="_Toc200774863"/>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12</w:t>
      </w:r>
      <w:r>
        <w:rPr>
          <w:rFonts w:hint="eastAsia" w:ascii="宋体" w:hAnsi="宋体" w:eastAsia="宋体"/>
          <w:color w:val="000000"/>
          <w:kern w:val="21"/>
          <w:sz w:val="24"/>
          <w:szCs w:val="24"/>
          <w:lang w:val="en-BZ"/>
        </w:rPr>
        <w:t>）对场内外进行有效的隔离工作和维护现场应急救援通道畅通的工作；</w:t>
      </w:r>
      <w:bookmarkEnd w:id="13"/>
    </w:p>
    <w:p>
      <w:pPr>
        <w:pStyle w:val="10"/>
        <w:keepNext w:val="0"/>
        <w:keepLines w:val="0"/>
        <w:pageBreakBefore w:val="0"/>
        <w:numPr>
          <w:ilvl w:val="0"/>
          <w:numId w:val="0"/>
        </w:numPr>
        <w:kinsoku/>
        <w:wordWrap/>
        <w:overflowPunct/>
        <w:bidi w:val="0"/>
        <w:adjustRightInd/>
        <w:spacing w:line="360" w:lineRule="auto"/>
        <w:ind w:left="525"/>
        <w:textAlignment w:val="auto"/>
        <w:rPr>
          <w:rFonts w:ascii="宋体" w:hAnsi="宋体" w:eastAsia="宋体"/>
          <w:color w:val="000000"/>
          <w:kern w:val="21"/>
          <w:sz w:val="24"/>
          <w:szCs w:val="24"/>
          <w:lang w:val="en-BZ"/>
        </w:rPr>
      </w:pPr>
      <w:bookmarkStart w:id="14" w:name="_Toc200774864"/>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13</w:t>
      </w:r>
      <w:r>
        <w:rPr>
          <w:rFonts w:hint="eastAsia" w:ascii="宋体" w:hAnsi="宋体" w:eastAsia="宋体"/>
          <w:color w:val="000000"/>
          <w:kern w:val="21"/>
          <w:sz w:val="24"/>
          <w:szCs w:val="24"/>
          <w:lang w:val="en-BZ"/>
        </w:rPr>
        <w:t>）疏散场区内外人员撤出危险地带。</w:t>
      </w:r>
      <w:bookmarkEnd w:id="14"/>
    </w:p>
    <w:p>
      <w:pPr>
        <w:keepNext w:val="0"/>
        <w:keepLines w:val="0"/>
        <w:pageBreakBefore w:val="0"/>
        <w:kinsoku/>
        <w:wordWrap/>
        <w:overflowPunct/>
        <w:topLinePunct/>
        <w:bidi w:val="0"/>
        <w:adjustRightInd/>
        <w:spacing w:line="360" w:lineRule="auto"/>
        <w:textAlignment w:val="auto"/>
        <w:outlineLvl w:val="0"/>
        <w:rPr>
          <w:rFonts w:ascii="宋体"/>
          <w:b/>
          <w:bCs/>
          <w:color w:val="000000"/>
          <w:kern w:val="21"/>
          <w:sz w:val="24"/>
        </w:rPr>
      </w:pPr>
      <w:bookmarkStart w:id="15" w:name="_Toc6278"/>
      <w:r>
        <w:rPr>
          <w:rFonts w:ascii="宋体" w:hAnsi="宋体"/>
          <w:b/>
          <w:bCs/>
          <w:color w:val="000000"/>
          <w:kern w:val="21"/>
          <w:sz w:val="24"/>
        </w:rPr>
        <w:t>3</w:t>
      </w:r>
      <w:r>
        <w:rPr>
          <w:rFonts w:hint="eastAsia" w:ascii="宋体" w:hAnsi="宋体"/>
          <w:b/>
          <w:bCs/>
          <w:color w:val="000000"/>
          <w:kern w:val="21"/>
          <w:sz w:val="24"/>
        </w:rPr>
        <w:t>危急事件的预防</w:t>
      </w:r>
      <w:bookmarkEnd w:id="15"/>
    </w:p>
    <w:p>
      <w:pPr>
        <w:keepNext w:val="0"/>
        <w:keepLines w:val="0"/>
        <w:pageBreakBefore w:val="0"/>
        <w:kinsoku/>
        <w:wordWrap/>
        <w:overflowPunct/>
        <w:topLinePunct/>
        <w:bidi w:val="0"/>
        <w:adjustRightInd/>
        <w:spacing w:line="360" w:lineRule="auto"/>
        <w:textAlignment w:val="auto"/>
        <w:outlineLvl w:val="0"/>
        <w:rPr>
          <w:rFonts w:ascii="宋体"/>
          <w:color w:val="000000"/>
          <w:kern w:val="21"/>
          <w:sz w:val="24"/>
        </w:rPr>
      </w:pPr>
      <w:bookmarkStart w:id="16" w:name="_Toc18593"/>
      <w:r>
        <w:rPr>
          <w:rFonts w:ascii="宋体" w:hAnsi="宋体"/>
          <w:color w:val="000000"/>
          <w:kern w:val="21"/>
          <w:sz w:val="24"/>
        </w:rPr>
        <w:t xml:space="preserve">3.1  </w:t>
      </w:r>
      <w:r>
        <w:rPr>
          <w:rFonts w:hint="eastAsia" w:ascii="宋体" w:hAnsi="宋体"/>
          <w:color w:val="000000"/>
          <w:kern w:val="21"/>
          <w:sz w:val="24"/>
        </w:rPr>
        <w:t>触电事件的预防</w:t>
      </w:r>
      <w:bookmarkEnd w:id="16"/>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3.1.1  </w:t>
      </w:r>
      <w:r>
        <w:rPr>
          <w:rFonts w:hint="eastAsia" w:ascii="宋体" w:hAnsi="宋体"/>
          <w:color w:val="000000"/>
          <w:kern w:val="21"/>
          <w:sz w:val="24"/>
        </w:rPr>
        <w:t>产生的原因分析</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）未及时做好接地。</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）安全防护措施不到位或安全距离不够等。</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3</w:t>
      </w:r>
      <w:r>
        <w:rPr>
          <w:rFonts w:hint="eastAsia" w:ascii="宋体" w:hAnsi="宋体"/>
          <w:color w:val="000000"/>
          <w:kern w:val="21"/>
          <w:sz w:val="24"/>
        </w:rPr>
        <w:t>）不按规定正确搭接临时电源。</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4</w:t>
      </w:r>
      <w:r>
        <w:rPr>
          <w:rFonts w:hint="eastAsia" w:ascii="宋体" w:hAnsi="宋体"/>
          <w:color w:val="000000"/>
          <w:kern w:val="21"/>
          <w:sz w:val="24"/>
        </w:rPr>
        <w:t>）电动工器具未使用漏电保护器，使用绝缘不合格的电动和绝缘工器具。</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5</w:t>
      </w:r>
      <w:r>
        <w:rPr>
          <w:rFonts w:hint="eastAsia" w:ascii="宋体" w:hAnsi="宋体"/>
          <w:color w:val="000000"/>
          <w:kern w:val="21"/>
          <w:sz w:val="24"/>
        </w:rPr>
        <w:t>）电焊作业现场（绝缘老化或接地不规范等）。</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6</w:t>
      </w:r>
      <w:r>
        <w:rPr>
          <w:rFonts w:hint="eastAsia" w:ascii="宋体" w:hAnsi="宋体"/>
          <w:color w:val="000000"/>
          <w:kern w:val="21"/>
          <w:sz w:val="24"/>
        </w:rPr>
        <w:t>）生活用电不按规定正确使用。</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3.1.2  </w:t>
      </w:r>
      <w:r>
        <w:rPr>
          <w:rFonts w:hint="eastAsia" w:ascii="宋体" w:hAnsi="宋体"/>
          <w:color w:val="000000"/>
          <w:kern w:val="21"/>
          <w:sz w:val="24"/>
        </w:rPr>
        <w:t>预防此类危急事件的措施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）加强员工“安规”的学习，从思想上认识到触电事故带来的危害，防止触电事故的发生。</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）加强员工的紧急救护意识培训，进行预防触电培训和触电紧急救护法培训。</w:t>
      </w:r>
    </w:p>
    <w:p>
      <w:pPr>
        <w:keepNext w:val="0"/>
        <w:keepLines w:val="0"/>
        <w:pageBreakBefore w:val="0"/>
        <w:kinsoku/>
        <w:wordWrap/>
        <w:overflowPunct/>
        <w:topLinePunct/>
        <w:bidi w:val="0"/>
        <w:adjustRightInd/>
        <w:spacing w:line="360" w:lineRule="auto"/>
        <w:textAlignment w:val="auto"/>
        <w:outlineLvl w:val="0"/>
        <w:rPr>
          <w:rFonts w:ascii="宋体"/>
          <w:color w:val="000000"/>
          <w:kern w:val="21"/>
          <w:sz w:val="24"/>
        </w:rPr>
      </w:pPr>
      <w:bookmarkStart w:id="17" w:name="_Toc17403"/>
      <w:r>
        <w:rPr>
          <w:rFonts w:ascii="宋体" w:hAnsi="宋体"/>
          <w:color w:val="000000"/>
          <w:kern w:val="21"/>
          <w:sz w:val="24"/>
        </w:rPr>
        <w:t xml:space="preserve">3.2  </w:t>
      </w:r>
      <w:r>
        <w:rPr>
          <w:rFonts w:hint="eastAsia" w:ascii="宋体" w:hAnsi="宋体"/>
          <w:color w:val="000000"/>
          <w:kern w:val="21"/>
          <w:sz w:val="24"/>
        </w:rPr>
        <w:t>火灾事故的预防</w:t>
      </w:r>
      <w:bookmarkEnd w:id="17"/>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⑴建立健全消防、保卫网络，制定严格的管理制度，在驻地、作业点、物资站等防火部位配备足够数量的消防器材。</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⑵消防安全管理必须贯彻“预防为主，防消结合”的方针，坚持“安全第一”的思想，按照“谁主管，谁负责”的原则，实行安全自查，隐患自改，责任明确，分工负责。</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⑶项目部应将消防法规、消防知识列为职工教育的一项内容，做好新进职工上岗前的消防知识培训工作。</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⑷易燃易爆仓库要设置在距离宿舍、明火、重要设备等</w:t>
      </w:r>
      <w:r>
        <w:rPr>
          <w:rFonts w:ascii="宋体" w:hAnsi="宋体"/>
          <w:color w:val="000000"/>
          <w:kern w:val="21"/>
          <w:sz w:val="24"/>
        </w:rPr>
        <w:t>25</w:t>
      </w:r>
      <w:r>
        <w:rPr>
          <w:rFonts w:hint="eastAsia" w:ascii="宋体" w:hAnsi="宋体"/>
          <w:color w:val="000000"/>
          <w:kern w:val="21"/>
          <w:sz w:val="24"/>
        </w:rPr>
        <w:t>米以外处，其结构必须是阻燃材料建造，门窗向外开，此处不设照明电路。</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⑸施工中乙炔钢瓶和氧气瓶，必须有大于</w:t>
      </w:r>
      <w:r>
        <w:rPr>
          <w:rFonts w:ascii="宋体" w:hAnsi="宋体"/>
          <w:color w:val="000000"/>
          <w:kern w:val="21"/>
          <w:sz w:val="24"/>
        </w:rPr>
        <w:t>5</w:t>
      </w:r>
      <w:r>
        <w:rPr>
          <w:rFonts w:hint="eastAsia" w:ascii="宋体" w:hAnsi="宋体"/>
          <w:color w:val="000000"/>
          <w:kern w:val="21"/>
          <w:sz w:val="24"/>
        </w:rPr>
        <w:t>米的间距，并有防止回火装置。</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⑹项目部对电源线路、电器设备和电源控制箱，实行统一管理，电工持证上岗，严格按操作规程工作，严禁违章作业。加强用电监视工作，防止用电线路、电器设备超负荷运行。</w:t>
      </w:r>
    </w:p>
    <w:p>
      <w:pPr>
        <w:keepNext w:val="0"/>
        <w:keepLines w:val="0"/>
        <w:pageBreakBefore w:val="0"/>
        <w:kinsoku/>
        <w:wordWrap/>
        <w:overflowPunct/>
        <w:topLinePunct/>
        <w:bidi w:val="0"/>
        <w:adjustRightInd/>
        <w:spacing w:line="360" w:lineRule="auto"/>
        <w:textAlignment w:val="auto"/>
        <w:outlineLvl w:val="0"/>
        <w:rPr>
          <w:rFonts w:ascii="宋体"/>
          <w:color w:val="000000"/>
          <w:kern w:val="21"/>
          <w:sz w:val="24"/>
        </w:rPr>
      </w:pPr>
      <w:bookmarkStart w:id="18" w:name="_Toc862"/>
      <w:r>
        <w:rPr>
          <w:rFonts w:ascii="宋体" w:hAnsi="宋体"/>
          <w:color w:val="000000"/>
          <w:kern w:val="21"/>
          <w:sz w:val="24"/>
        </w:rPr>
        <w:t xml:space="preserve">3.3  </w:t>
      </w:r>
      <w:r>
        <w:rPr>
          <w:rFonts w:hint="eastAsia" w:ascii="宋体" w:hAnsi="宋体"/>
          <w:color w:val="000000"/>
          <w:kern w:val="21"/>
          <w:sz w:val="24"/>
        </w:rPr>
        <w:t>食物中毒事故的预防</w:t>
      </w:r>
      <w:bookmarkEnd w:id="18"/>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）加强食堂卫生管理工作，落实食物安全责任人制度。</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）因工作需要在现场就餐的工作人员，应在饭菜送至现场后及时就餐，避免野外卫生环境污染食物。</w:t>
      </w:r>
    </w:p>
    <w:p>
      <w:pPr>
        <w:keepNext w:val="0"/>
        <w:keepLines w:val="0"/>
        <w:pageBreakBefore w:val="0"/>
        <w:kinsoku/>
        <w:wordWrap/>
        <w:overflowPunct/>
        <w:topLinePunct/>
        <w:bidi w:val="0"/>
        <w:adjustRightInd/>
        <w:spacing w:line="360" w:lineRule="auto"/>
        <w:textAlignment w:val="auto"/>
        <w:outlineLvl w:val="0"/>
        <w:rPr>
          <w:rFonts w:ascii="宋体"/>
          <w:color w:val="000000"/>
          <w:kern w:val="21"/>
          <w:sz w:val="24"/>
        </w:rPr>
      </w:pPr>
      <w:bookmarkStart w:id="19" w:name="_Toc29586"/>
      <w:r>
        <w:rPr>
          <w:rFonts w:ascii="宋体" w:hAnsi="宋体"/>
          <w:color w:val="000000"/>
          <w:kern w:val="21"/>
          <w:sz w:val="24"/>
        </w:rPr>
        <w:t xml:space="preserve">3.4  </w:t>
      </w:r>
      <w:r>
        <w:rPr>
          <w:rFonts w:hint="eastAsia" w:ascii="宋体" w:hAnsi="宋体"/>
          <w:color w:val="000000"/>
          <w:kern w:val="21"/>
          <w:sz w:val="24"/>
        </w:rPr>
        <w:t>施工现场人员伤亡事故的预防</w:t>
      </w:r>
      <w:bookmarkEnd w:id="19"/>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3.4.1 </w:t>
      </w:r>
      <w:r>
        <w:rPr>
          <w:rFonts w:hint="eastAsia" w:ascii="宋体" w:hAnsi="宋体"/>
          <w:color w:val="000000"/>
          <w:kern w:val="21"/>
          <w:sz w:val="24"/>
        </w:rPr>
        <w:t>起重机挤压事故的预防</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⑴起重机机体与固定物、建筑物之间要有适当的距离，至少要有</w:t>
      </w:r>
      <w:r>
        <w:rPr>
          <w:rFonts w:ascii="宋体" w:hAnsi="宋体"/>
          <w:color w:val="000000"/>
          <w:kern w:val="21"/>
          <w:sz w:val="24"/>
        </w:rPr>
        <w:t>0.5m</w:t>
      </w:r>
      <w:r>
        <w:rPr>
          <w:rFonts w:hint="eastAsia" w:ascii="宋体" w:hAnsi="宋体"/>
          <w:color w:val="000000"/>
          <w:kern w:val="21"/>
          <w:sz w:val="24"/>
        </w:rPr>
        <w:t>间距，作业时禁止有人通过。</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⑵应合理布置场地、堆放重物。货物的堆放应有适当间隙，巨大构件和容易滚动及翻倒的货物要码放合理，便于搬运。</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⑶应选择适合所吊货物的吊具和索具，合理地捆绑与吊挂，避免在空中旋转或脱落。禁止直接用手拖拉旋转的重物，信号指挥人员要按原定的吊装方案指挥。</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⑷设备上的各种安全防护装置应完好齐全，不得使用安全防护装置不完整或已失效的设备。</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3.4.2 </w:t>
      </w:r>
      <w:r>
        <w:rPr>
          <w:rFonts w:hint="eastAsia" w:ascii="宋体" w:hAnsi="宋体"/>
          <w:color w:val="000000"/>
          <w:kern w:val="21"/>
          <w:sz w:val="24"/>
        </w:rPr>
        <w:t>起重作业高处坠落事故预防</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人员在离地大于</w:t>
      </w:r>
      <w:r>
        <w:rPr>
          <w:rFonts w:ascii="宋体" w:hAnsi="宋体"/>
          <w:color w:val="000000"/>
          <w:kern w:val="21"/>
          <w:sz w:val="24"/>
        </w:rPr>
        <w:t>2m</w:t>
      </w:r>
      <w:r>
        <w:rPr>
          <w:rFonts w:hint="eastAsia" w:ascii="宋体" w:hAnsi="宋体"/>
          <w:color w:val="000000"/>
          <w:kern w:val="21"/>
          <w:sz w:val="24"/>
        </w:rPr>
        <w:t>的高度进行起重机的安装、拆卸、检查、维修或操作等作业时，起重机上的安全防护设施齐全、可靠，防止人员坠落。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⑴提升高度限位器要保证有效，避免过卷扬事故，司机在作业前要检查提升高度限位器是否有效，失效时应不准启动；</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⑵要注意检查吊钩，是否有磨损或有无裂纹变形，该报废的不准使用；</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⑶要检查钢丝绳的状况，每班操作前都必须将钢丝绳从头到尾的细致检查一遍，是否有磨损、断丝、断脱，有无显著变形、扭结、弯折等，不符合的要及时更换。</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3.4.3 </w:t>
      </w:r>
      <w:r>
        <w:rPr>
          <w:rFonts w:hint="eastAsia" w:ascii="宋体" w:hAnsi="宋体"/>
          <w:color w:val="000000"/>
          <w:kern w:val="21"/>
          <w:sz w:val="24"/>
        </w:rPr>
        <w:t>起重机倾翻、折断、倒塌事故预防</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⑴应正确操作起重设备，严禁超载作业或任意扩大使用范围。流动式起重机工作前按要求平整场地，打好支腿，并挂上停车制动器。</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⑵每次使用都要对各主要部件和安全装置进行检查，防止由于机械部件的损坏而发生折断倾翻事故。</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⑶钢丝绳、吊钩、滑轮、安全装置及起重机械工器具等定期按有关标准进行检验、检查和保养，确认符合安全要求后方可使用。</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⑷两人以上从事起重作业，必须有一人任起重指挥，现场其他起重作业人员或辅助人员必须听从起重指挥的统一指挥，但在发生紧急危险情况时，任何人都可以发出符合要求的停止信号和避让信号。</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⑸起重作业严格执行“十不吊”。起重钢丝绳在棱角处采取垫方木和包裹麻片的保护措施，千斤绳不得打扭、绞使用。</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3.4.4 </w:t>
      </w:r>
      <w:r>
        <w:rPr>
          <w:rFonts w:hint="eastAsia" w:ascii="宋体" w:hAnsi="宋体"/>
          <w:color w:val="000000"/>
          <w:kern w:val="21"/>
          <w:sz w:val="24"/>
        </w:rPr>
        <w:t>起重机械触电事故预防</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起重机工作时防止碰触</w:t>
      </w:r>
      <w:r>
        <w:fldChar w:fldCharType="begin"/>
      </w:r>
      <w:r>
        <w:instrText xml:space="preserve"> HYPERLINK "http://www.powersafety.com.cn" \t "_blank" </w:instrText>
      </w:r>
      <w:r>
        <w:fldChar w:fldCharType="separate"/>
      </w:r>
      <w:r>
        <w:rPr>
          <w:rFonts w:hint="eastAsia" w:ascii="宋体" w:hAnsi="宋体"/>
          <w:color w:val="000000"/>
          <w:kern w:val="21"/>
          <w:sz w:val="24"/>
        </w:rPr>
        <w:t>架空电力</w:t>
      </w:r>
      <w:r>
        <w:rPr>
          <w:rFonts w:hint="eastAsia" w:ascii="宋体" w:hAnsi="宋体"/>
          <w:color w:val="000000"/>
          <w:kern w:val="21"/>
          <w:sz w:val="24"/>
        </w:rPr>
        <w:fldChar w:fldCharType="end"/>
      </w:r>
      <w:r>
        <w:rPr>
          <w:rFonts w:hint="eastAsia" w:ascii="宋体" w:hAnsi="宋体"/>
          <w:color w:val="000000"/>
          <w:kern w:val="21"/>
          <w:sz w:val="24"/>
        </w:rPr>
        <w:t>线路或其它运行的电力设备造成触电事故，臂架、吊具、辅具、钢丝绳及重物应与架空电力线保持一定的安全距离；同时要注意检查起重机的接地电阻和绝缘电阻，保证接地和绝缘良好。</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3.4.5</w:t>
      </w:r>
      <w:r>
        <w:rPr>
          <w:rFonts w:hint="eastAsia" w:ascii="宋体" w:hAnsi="宋体"/>
          <w:color w:val="000000"/>
          <w:kern w:val="21"/>
          <w:sz w:val="24"/>
        </w:rPr>
        <w:t>机械伤害防范措施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⑴操作各种机械人员必须经过专业</w:t>
      </w:r>
      <w:r>
        <w:fldChar w:fldCharType="begin"/>
      </w:r>
      <w:r>
        <w:instrText xml:space="preserve"> HYPERLINK "http://www.aqpx.cn" \t "_blank" </w:instrText>
      </w:r>
      <w:r>
        <w:fldChar w:fldCharType="separate"/>
      </w:r>
      <w:r>
        <w:rPr>
          <w:rFonts w:hint="eastAsia" w:ascii="宋体" w:hAnsi="宋体"/>
          <w:color w:val="000000"/>
          <w:kern w:val="21"/>
          <w:sz w:val="24"/>
        </w:rPr>
        <w:t>培训</w:t>
      </w:r>
      <w:r>
        <w:rPr>
          <w:rFonts w:hint="eastAsia" w:ascii="宋体" w:hAnsi="宋体"/>
          <w:color w:val="000000"/>
          <w:kern w:val="21"/>
          <w:sz w:val="24"/>
        </w:rPr>
        <w:fldChar w:fldCharType="end"/>
      </w:r>
      <w:r>
        <w:rPr>
          <w:rFonts w:hint="eastAsia" w:ascii="宋体" w:hAnsi="宋体"/>
          <w:color w:val="000000"/>
          <w:kern w:val="21"/>
          <w:sz w:val="24"/>
        </w:rPr>
        <w:t>，能掌握该设备性能的基础知识，经考试合格，持证上岗。</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⑵检修机械必须严格执行断电、挂“禁止合闸、有人工作”警示牌并设专人监护或隔离等措施。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转动机械和传动装置的外露部分应装设可靠的防护罩、盖或栏杆方可使用。严禁带手套或手上缠抹布，在裸露的球轮、齿轮、链条、钢绳、皮带、轴头等转动部分进行清扫或其他的工作。工作人员应特别小心，不使衣服及擦拭材料被机器挂住，扣紧袖口。</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⑷机械设备工作时，禁止进行润滑、清洁（清扫）、拆卸、修理等工作。转动和传动机械等设备检修时必须切断电源，并采取防止转动、移动的可靠措施。检修后进行开停试运行前，应将防护设施装设好，方可进行试运行。</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⑸机械上的各种安全防护装置及监测、指示、报警、保险、信号装置应完好齐全，有缺损时应及时修复。安全防护装置不完整或已失效的机械不得使用。</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⑹严禁在运行中将转动的设备防护罩或遮栏打开，或将手伸进遮栏内。电动机的引出线和电缆头以及外露的转动部分均应装设牢固的遮栏或护罩。</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3.4.6</w:t>
      </w:r>
      <w:r>
        <w:rPr>
          <w:rFonts w:hint="eastAsia" w:ascii="宋体" w:hAnsi="宋体"/>
          <w:color w:val="000000"/>
          <w:kern w:val="21"/>
          <w:sz w:val="24"/>
        </w:rPr>
        <w:t>高处坠落防范措施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⑴高处作业人员要按规定经培训合格后持证上岗，同时加强职工的安全教育和培训，增强自我保护意识。</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⑵参加高处作业人员应按规定要求戴好安全帽，系好安全带，衣着灵便，穿软底鞋；安全带必须拴在牢固的构件上，不得低挂高用。</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⑶基坑周边、料台周边等临边高处作业，必须设置防护栏杆。</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⑷高处作业人员在作业过程中不得失去安全防护，在铁塔或其它高处作业转移时应用水平安全绳、安全带（绳）等随时进行保护。</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⑸用于高处作业的防护设施，不得擅自拆除，确因作业需要临时拆除必须经负责人同意，并在原处采取相应的可靠的防护措施，完成作业后必须立即恢复。</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3.4.7</w:t>
      </w:r>
      <w:r>
        <w:rPr>
          <w:rFonts w:hint="eastAsia" w:ascii="宋体" w:hAnsi="宋体"/>
          <w:color w:val="000000"/>
          <w:kern w:val="21"/>
          <w:sz w:val="24"/>
        </w:rPr>
        <w:t>物体打击防范措施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⑴高处作业和起重作业现场，现场设置安全标志、围栏，禁止无关人员进入施工现场并专人监护。</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⑵高处作业所用的工具和材料应放在工具袋内或用绳索绑牢；上下传递物件应用绳索吊送，严禁抛掷。</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⑶放线、紧线工作时，人员不得站在或跨在已受力的牵引绳、导线的内角侧和展放的导、地线圈内以及牵引绳或架空线的垂直下方，防止意外跑线时抽伤。</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⑷在起吊、牵引过程中，受力钢丝绳的周围、上下方、内角侧和起吊物的下面，严禁有人逗留和通过。吊运重物不得从人头顶通过，吊臂下严禁站人。不准用手拉或跨越钢丝绳。</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⑸在高处上下层同时作业时，中间应搭设严密牢固的防护隔离设施，以防落物伤人。工作人员必须正确佩戴安全帽。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⑹钻床、金属切削机床等加工件的固定夹具应完好，防夹具脱落装置应可靠。加工时，夹具应将工件夹紧，防止工件飞脱伤人。</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⑺排除设备故障或清理卡物件料前，必须停机。机械运行过程中，为避免工具、工件、联结件、紧固件等甩出伤人，应有防松脱措施和配置防护罩或防护网等安全措施。</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3.4.8</w:t>
      </w:r>
      <w:r>
        <w:rPr>
          <w:rFonts w:hint="eastAsia" w:ascii="宋体" w:hAnsi="宋体"/>
          <w:color w:val="000000"/>
          <w:kern w:val="21"/>
          <w:sz w:val="24"/>
        </w:rPr>
        <w:t>触电防范措施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⑴施工安装维修或拆除临时用电工程，均由取得合格证的电工完成。</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⑵施工现场临时用电的架设和使用必须符合《施工现场临时用电安全技术规范》（</w:t>
      </w:r>
      <w:r>
        <w:rPr>
          <w:rFonts w:ascii="宋体" w:hAnsi="宋体"/>
          <w:color w:val="000000"/>
          <w:kern w:val="21"/>
          <w:sz w:val="24"/>
        </w:rPr>
        <w:t>JGJ46-2005</w:t>
      </w:r>
      <w:r>
        <w:rPr>
          <w:rFonts w:hint="eastAsia" w:ascii="宋体" w:hAnsi="宋体"/>
          <w:color w:val="000000"/>
          <w:kern w:val="21"/>
          <w:sz w:val="24"/>
        </w:rPr>
        <w:t>）的规定。</w:t>
      </w:r>
      <w:r>
        <w:rPr>
          <w:rFonts w:ascii="宋体" w:hAnsi="宋体"/>
          <w:color w:val="000000"/>
          <w:kern w:val="21"/>
          <w:sz w:val="24"/>
        </w:rPr>
        <w:t xml:space="preserve"> </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⑶独立的配电系统必须采用</w:t>
      </w:r>
      <w:r>
        <w:rPr>
          <w:rFonts w:ascii="宋体" w:hAnsi="宋体"/>
          <w:color w:val="000000"/>
          <w:kern w:val="21"/>
          <w:sz w:val="24"/>
        </w:rPr>
        <w:t>TN-S</w:t>
      </w:r>
      <w:r>
        <w:rPr>
          <w:rFonts w:hint="eastAsia" w:ascii="宋体" w:hAnsi="宋体"/>
          <w:color w:val="000000"/>
          <w:kern w:val="21"/>
          <w:sz w:val="24"/>
        </w:rPr>
        <w:t>（三相五线制）接零保护系统，非独立系统可根据现场的实际情况采取相应的接零或接地保护方式。各种电气设备和电力施工机械的金属外壳、金属支架和底座必须按规定采取可靠的接零或接地保护。</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⑷电焊机应可靠接地，高、低压侧接线柱必须设护罩，以防工作中误触碰。不停电更换焊条，必须戴焊工手套进行。</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⑸在高压线附近进行施工作业时，使用的施工机具、设备应与高压线保持足够的安全距离。达不到规定的安全距离时，必须采取可靠的安全防护措施。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⑹被跨越电力线路两侧的放线滑车接地，耐张塔挂线前，用导体将耐张绝缘子串短接。在感应电特别严重的地区紧、挂线时，在操作点附近的导地线上装接地线，适当增加塔上放线滑车的接地点。</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⑺每一个附件安装工作点，在正式作业开始前首先设置好工作接地。工作接地使用截面积不小于</w:t>
      </w:r>
      <w:r>
        <w:rPr>
          <w:rFonts w:ascii="宋体" w:hAnsi="宋体"/>
          <w:color w:val="000000"/>
          <w:kern w:val="21"/>
          <w:sz w:val="24"/>
        </w:rPr>
        <w:t>25mm</w:t>
      </w:r>
      <w:r>
        <w:rPr>
          <w:rFonts w:hint="eastAsia" w:ascii="宋体" w:hAnsi="宋体" w:cs="宋体"/>
          <w:color w:val="000000"/>
          <w:kern w:val="21"/>
          <w:sz w:val="24"/>
        </w:rPr>
        <w:t>²</w:t>
      </w:r>
      <w:r>
        <w:rPr>
          <w:rFonts w:hint="eastAsia" w:ascii="宋体" w:hAnsi="宋体"/>
          <w:color w:val="000000"/>
          <w:kern w:val="21"/>
          <w:sz w:val="24"/>
        </w:rPr>
        <w:t>的编织铜线作接地引线。工作完成后，拆除工作接地。</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⑻附件全部安装完毕后，保留部分临时接地做半永久性接地，拆除其余临时接地。半永久性接地作好记录、定期检查，保留至竣工验收后、启动运行前拆除。</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⑼装、拆接地线顺序要正确，并均应使用绝缘棒。人体不得碰触接地线或未接地的导线，以防止感应电触电。</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10</w:t>
      </w:r>
      <w:r>
        <w:rPr>
          <w:rFonts w:hint="eastAsia" w:ascii="宋体" w:hAnsi="宋体"/>
          <w:color w:val="000000"/>
          <w:kern w:val="21"/>
          <w:sz w:val="24"/>
        </w:rPr>
        <w:t>）雷电发生时，严禁携带金属物体在露天行走；严禁靠近电器设备；严禁人员停留空旷地带、电线杆和高压电线下。</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3.4.9</w:t>
      </w:r>
      <w:r>
        <w:rPr>
          <w:rFonts w:hint="eastAsia" w:ascii="宋体" w:hAnsi="宋体"/>
          <w:color w:val="000000"/>
          <w:kern w:val="21"/>
          <w:sz w:val="24"/>
        </w:rPr>
        <w:t>坍塌事故防范措施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⑴基坑开挖前必须做好降（排）水工作，并采取保护措施。各类施工机械距基坑（槽）、边坡和基础桩孔的距离，应根据设备重量、基坑（槽）、边坡和基础桩的支护、土质情况确定，并不得小于</w:t>
      </w:r>
      <w:r>
        <w:rPr>
          <w:rFonts w:ascii="宋体" w:hAnsi="宋体"/>
          <w:color w:val="000000"/>
          <w:kern w:val="21"/>
          <w:sz w:val="24"/>
        </w:rPr>
        <w:t>1.5m</w:t>
      </w:r>
      <w:r>
        <w:rPr>
          <w:rFonts w:hint="eastAsia" w:ascii="宋体" w:hAnsi="宋体"/>
          <w:color w:val="000000"/>
          <w:kern w:val="21"/>
          <w:sz w:val="24"/>
        </w:rPr>
        <w:t>。</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⑵基坑施工前，首先应按照规范的要求，依据基坑周边环境、开挖深度、工程地质与水文地质、施工作业设备和施工季节的条件等因素选择坑壁的形式。</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⑶基坑土方开挖前，应根据基坑坑壁形式、降排水要求等对机械操作人员进行交底。开挖时，应有质检人员在场，对开挖深度、坑壁坡度进行监控，防止超挖。</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⑷在基坑施工产前，应摸清基坑周边的管网情况，避免在施工过程中对管网造成损害，出现爆或渗漏。同时为减少地表水渗入坑壁土体，施工现场内应设地表排水系统，对雨水、施工用水、从降水井中抽出的地下水等进行有组织排放，对坑边的积水坑、降水沉砂池应做防水处理，防止出现渗漏。</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⑸对采用支护结构的坑壁应设置泄水孔，保证护壁内侧土体内水压力能及时消除，减少土体含水率，也便于观察基坑周边土体内地表水的情况，及时采取措施。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⑹挖掘机在基坑开挖前和作业中要经常检查边坡有无异常情况，如发现异常情况要立即停止作业，并将挖掘机开往安全的地方停放，确保人、机安全。</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⑺基坑的监测是防止基坑发生坍塌的重要手段。现场监测重点：支护结构水平位移，周围建筑物、地下管线变形，地下水位的观测，基坑外地面沉降或隆起变形，基坑底部及周边地体变形。当观测数据异常时，必须立即停止施工，及时查明原因，做好支护加固调整措施，确保基坑安全。</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3.4.10</w:t>
      </w:r>
      <w:r>
        <w:rPr>
          <w:rFonts w:hint="eastAsia" w:ascii="宋体" w:hAnsi="宋体"/>
          <w:color w:val="000000"/>
          <w:kern w:val="21"/>
          <w:sz w:val="24"/>
        </w:rPr>
        <w:t>跨越架倒塌事故的防范措施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⑴跨越架搭设必须选用具有专业资质等级条件和施工能力的分包商。</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⑵架子工必须经培训考试合格，持证上岗，工作时佩带好个人防护用品，支搭脚手架严格按方案施工，做好脚手架拉接点拉牢工作，防止架体倒塌。</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⑶所有架体平台，架设好后，必须经各方专业技术人员验收签字后，方可投入使用。</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⑷跨越架必须定期检查，大风、大雨、雪后应进行全面检查，如有松动、折裂或倾斜等情况，应及时坚固或更换；在作业过程中，若发现脚手架立杆沉陷或悬空、联接松动、架子歪斜变形等现象，应立即停止作业并报告，待问题处理并经重新验收合格后方可进行作业。</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⑸对跨越架施工和施工现场安全情况要进行检查和监督，安全技术交底要有针对性。</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⑹跨越架塔设之前，必须对所用钢管、扣件、底座、钢（木）脚手板等材料进行场外检查、检验，确认合格后方可运</w:t>
      </w:r>
      <w:r>
        <w:rPr>
          <w:rFonts w:ascii="宋体" w:hAnsi="宋体"/>
          <w:color w:val="000000"/>
          <w:kern w:val="21"/>
          <w:sz w:val="24"/>
        </w:rPr>
        <w:t xml:space="preserve"> </w:t>
      </w:r>
      <w:r>
        <w:rPr>
          <w:rFonts w:hint="eastAsia" w:ascii="宋体" w:hAnsi="宋体"/>
          <w:color w:val="000000"/>
          <w:kern w:val="21"/>
          <w:sz w:val="24"/>
        </w:rPr>
        <w:t>至施工现场使用。</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⑺跨越架安全检查要把住脚手架</w:t>
      </w:r>
      <w:r>
        <w:rPr>
          <w:rFonts w:hint="eastAsia" w:ascii="宋体"/>
          <w:color w:val="000000"/>
          <w:kern w:val="21"/>
          <w:sz w:val="24"/>
        </w:rPr>
        <w:t>“</w:t>
      </w:r>
      <w:r>
        <w:rPr>
          <w:rFonts w:hint="eastAsia" w:ascii="宋体" w:hAnsi="宋体"/>
          <w:color w:val="000000"/>
          <w:kern w:val="21"/>
          <w:sz w:val="24"/>
        </w:rPr>
        <w:t>十道关</w:t>
      </w:r>
      <w:r>
        <w:rPr>
          <w:rFonts w:hint="eastAsia" w:ascii="宋体"/>
          <w:color w:val="000000"/>
          <w:kern w:val="21"/>
          <w:sz w:val="24"/>
        </w:rPr>
        <w:t>”</w:t>
      </w:r>
      <w:r>
        <w:rPr>
          <w:rFonts w:hint="eastAsia" w:ascii="宋体" w:hAnsi="宋体"/>
          <w:color w:val="000000"/>
          <w:kern w:val="21"/>
          <w:sz w:val="24"/>
        </w:rPr>
        <w:t>：材质关、尺寸关、铺板关、护栏关、连结关、承重关、上下关、雷电关、挑梁关、检验关。</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3.4.11 </w:t>
      </w:r>
      <w:r>
        <w:rPr>
          <w:rFonts w:hint="eastAsia" w:ascii="宋体" w:hAnsi="宋体"/>
          <w:color w:val="000000"/>
          <w:kern w:val="21"/>
          <w:sz w:val="24"/>
        </w:rPr>
        <w:t>火灾事故防范措施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⑴建立健全消防、保卫网络，制定严格的管理制度，在驻地、作业点、物资站等防火部位配备足够数量的消防器材。</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⑵消防安全管理必须贯彻“预防为主，防消结合”的方针，坚持“安全第一”的思想，按照“谁主管，谁负责”的原则，实行安全自查，隐患自改，责任明确，分工负责。</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⑶项目部应将消防法规、消防知识列为职工教育的一项内容，做好新进职工上岗前的消防知识培训工作。</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⑷易燃易爆仓库要设置在距离宿舍、明火、重要设备等</w:t>
      </w:r>
      <w:r>
        <w:rPr>
          <w:rFonts w:ascii="宋体" w:hAnsi="宋体"/>
          <w:color w:val="000000"/>
          <w:kern w:val="21"/>
          <w:sz w:val="24"/>
        </w:rPr>
        <w:t>25</w:t>
      </w:r>
      <w:r>
        <w:rPr>
          <w:rFonts w:hint="eastAsia" w:ascii="宋体" w:hAnsi="宋体"/>
          <w:color w:val="000000"/>
          <w:kern w:val="21"/>
          <w:sz w:val="24"/>
        </w:rPr>
        <w:t>米以外处，其结构必须是阻燃材料建造，门窗向外开，此处不设照明电路。</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⑸施工中乙炔钢瓶和氧气瓶，必须有大于</w:t>
      </w:r>
      <w:r>
        <w:rPr>
          <w:rFonts w:ascii="宋体" w:hAnsi="宋体"/>
          <w:color w:val="000000"/>
          <w:kern w:val="21"/>
          <w:sz w:val="24"/>
        </w:rPr>
        <w:t>5</w:t>
      </w:r>
      <w:r>
        <w:rPr>
          <w:rFonts w:hint="eastAsia" w:ascii="宋体" w:hAnsi="宋体"/>
          <w:color w:val="000000"/>
          <w:kern w:val="21"/>
          <w:sz w:val="24"/>
        </w:rPr>
        <w:t>米的间距，并有防止回火装置。</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⑹项目部对电源线路、电器设备和电源控制箱，实行统一管理，电工持证上岗，严格按操作规程工作，严禁违章作业。加强用电监视工作，防止用电线路、电器设备超负荷运行。</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3.4.12 </w:t>
      </w:r>
      <w:r>
        <w:rPr>
          <w:rFonts w:hint="eastAsia" w:ascii="宋体" w:hAnsi="宋体"/>
          <w:color w:val="000000"/>
          <w:kern w:val="21"/>
          <w:sz w:val="24"/>
        </w:rPr>
        <w:t>电网、设备事故防范措施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⑴邻近或交叉电力线路作业、线路停电作业等，在施工前应编写专项施工方案，施工前应进行安全技术交底，使施工人员清楚各项技术参数及施工要求。</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ascii="宋体" w:hAnsi="宋体"/>
          <w:color w:val="000000"/>
          <w:kern w:val="21"/>
          <w:sz w:val="24"/>
        </w:rPr>
        <w:t>(2</w:t>
      </w:r>
      <w:r>
        <w:rPr>
          <w:rFonts w:hint="eastAsia" w:ascii="宋体" w:hAnsi="宋体"/>
          <w:color w:val="000000"/>
          <w:kern w:val="21"/>
          <w:sz w:val="24"/>
        </w:rPr>
        <w:t>）邻近带电体作业，施工机具、设备、材料、人员等要满足规定要求。</w:t>
      </w:r>
    </w:p>
    <w:p>
      <w:pPr>
        <w:keepNext w:val="0"/>
        <w:keepLines w:val="0"/>
        <w:pageBreakBefore w:val="0"/>
        <w:kinsoku/>
        <w:wordWrap/>
        <w:overflowPunct/>
        <w:topLinePunct/>
        <w:bidi w:val="0"/>
        <w:adjustRightInd/>
        <w:spacing w:line="360" w:lineRule="auto"/>
        <w:textAlignment w:val="auto"/>
        <w:outlineLvl w:val="0"/>
        <w:rPr>
          <w:rFonts w:ascii="宋体"/>
          <w:color w:val="000000"/>
          <w:kern w:val="21"/>
          <w:sz w:val="24"/>
        </w:rPr>
      </w:pPr>
      <w:bookmarkStart w:id="20" w:name="_Toc4047"/>
      <w:r>
        <w:rPr>
          <w:rFonts w:ascii="宋体" w:hAnsi="宋体"/>
          <w:color w:val="000000"/>
          <w:kern w:val="21"/>
          <w:sz w:val="24"/>
        </w:rPr>
        <w:t xml:space="preserve">3.5 </w:t>
      </w:r>
      <w:r>
        <w:rPr>
          <w:rFonts w:hint="eastAsia" w:ascii="宋体" w:hAnsi="宋体"/>
          <w:color w:val="000000"/>
          <w:kern w:val="21"/>
          <w:sz w:val="24"/>
        </w:rPr>
        <w:t>交通事故的预防</w:t>
      </w:r>
      <w:bookmarkEnd w:id="20"/>
    </w:p>
    <w:p>
      <w:pPr>
        <w:keepNext w:val="0"/>
        <w:keepLines w:val="0"/>
        <w:pageBreakBefore w:val="0"/>
        <w:widowControl/>
        <w:tabs>
          <w:tab w:val="left" w:pos="0"/>
        </w:tabs>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⑴建立健全交通安全管理机构，按照</w:t>
      </w:r>
      <w:r>
        <w:rPr>
          <w:rFonts w:ascii="宋体" w:hAnsi="宋体"/>
          <w:color w:val="000000"/>
          <w:kern w:val="21"/>
          <w:sz w:val="24"/>
        </w:rPr>
        <w:t xml:space="preserve"> </w:t>
      </w:r>
      <w:r>
        <w:rPr>
          <w:rFonts w:hint="eastAsia" w:ascii="宋体" w:hAnsi="宋体"/>
          <w:color w:val="000000"/>
          <w:kern w:val="21"/>
          <w:sz w:val="24"/>
        </w:rPr>
        <w:t>“谁主管、谁负责”的原则，对本项目部所有车辆驾驶人员进行安全管理和安全教育。</w:t>
      </w:r>
    </w:p>
    <w:p>
      <w:pPr>
        <w:keepNext w:val="0"/>
        <w:keepLines w:val="0"/>
        <w:pageBreakBefore w:val="0"/>
        <w:widowControl/>
        <w:tabs>
          <w:tab w:val="left" w:pos="840"/>
        </w:tabs>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⑵加强对各种车辆维修管理。各种车辆的技术状况必须符合国家规定，安全装置完善可靠。对车辆必须定期进行检修维护，在行驶前、行驶中、行驶后对安全装置进行检查，发现危及交通安全问题，必须及时处理，严禁带病行驶。</w:t>
      </w:r>
    </w:p>
    <w:p>
      <w:pPr>
        <w:keepNext w:val="0"/>
        <w:keepLines w:val="0"/>
        <w:pageBreakBefore w:val="0"/>
        <w:widowControl/>
        <w:tabs>
          <w:tab w:val="left" w:pos="840"/>
        </w:tabs>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⑶加强对驾驶员的管理，提高驾驶员队伍素质。定期组织驾驶员进行安全技术培训，提高驾驶员的安全行车意识和驾驶技术水平。对考试、考核不合格或经常违章肇事的应不准从事驾驶员工作。</w:t>
      </w:r>
    </w:p>
    <w:p>
      <w:pPr>
        <w:keepNext w:val="0"/>
        <w:keepLines w:val="0"/>
        <w:pageBreakBefore w:val="0"/>
        <w:widowControl/>
        <w:tabs>
          <w:tab w:val="left" w:pos="840"/>
        </w:tabs>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⑷严禁酒后驾车，私自驾车，无证驾车，疲劳驾驶，超速行驶，超载行驶。</w:t>
      </w:r>
    </w:p>
    <w:p>
      <w:pPr>
        <w:keepNext w:val="0"/>
        <w:keepLines w:val="0"/>
        <w:pageBreakBefore w:val="0"/>
        <w:kinsoku/>
        <w:wordWrap/>
        <w:overflowPunct/>
        <w:topLinePunct/>
        <w:bidi w:val="0"/>
        <w:adjustRightInd/>
        <w:spacing w:line="360" w:lineRule="auto"/>
        <w:textAlignment w:val="auto"/>
        <w:outlineLvl w:val="0"/>
        <w:rPr>
          <w:rFonts w:ascii="宋体"/>
          <w:color w:val="000000"/>
          <w:kern w:val="21"/>
          <w:sz w:val="24"/>
        </w:rPr>
      </w:pPr>
      <w:bookmarkStart w:id="21" w:name="_Toc19648"/>
      <w:r>
        <w:rPr>
          <w:rFonts w:ascii="宋体" w:hAnsi="宋体"/>
          <w:color w:val="000000"/>
          <w:kern w:val="21"/>
          <w:sz w:val="24"/>
        </w:rPr>
        <w:t xml:space="preserve">3.6 </w:t>
      </w:r>
      <w:r>
        <w:rPr>
          <w:rFonts w:hint="eastAsia" w:ascii="宋体" w:hAnsi="宋体"/>
          <w:color w:val="000000"/>
          <w:kern w:val="21"/>
          <w:sz w:val="24"/>
        </w:rPr>
        <w:t>现场应急处置方案的启动</w:t>
      </w:r>
      <w:bookmarkEnd w:id="21"/>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）事故发生后，事故现场的监理人员，应及时将现场情况报告应急救援小组的正、副组长，事故现场的其他作业人员也可直接报告应急救援小组的正、副组长，同时将情况报告相关部门；</w:t>
      </w:r>
    </w:p>
    <w:p>
      <w:pPr>
        <w:keepNext w:val="0"/>
        <w:keepLines w:val="0"/>
        <w:pageBreakBefore w:val="0"/>
        <w:kinsoku/>
        <w:wordWrap/>
        <w:overflowPunct/>
        <w:topLinePunct/>
        <w:bidi w:val="0"/>
        <w:adjustRightInd/>
        <w:spacing w:line="360" w:lineRule="auto"/>
        <w:ind w:firstLine="480" w:firstLineChars="200"/>
        <w:textAlignment w:val="auto"/>
        <w:rPr>
          <w:rFonts w:hint="eastAsia" w:ascii="宋体" w:hAns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）应急救援小组的正、副组长接到报告后，根据具体情况，确定是否启动本预案；</w:t>
      </w:r>
    </w:p>
    <w:p>
      <w:pPr>
        <w:snapToGrid w:val="0"/>
        <w:spacing w:line="360" w:lineRule="auto"/>
        <w:outlineLvl w:val="1"/>
        <w:rPr>
          <w:rFonts w:hint="eastAsia" w:ascii="宋体" w:hAnsi="宋体"/>
          <w:b/>
          <w:sz w:val="24"/>
          <w:szCs w:val="24"/>
        </w:rPr>
      </w:pPr>
      <w:bookmarkStart w:id="22" w:name="_Toc276125375"/>
      <w:r>
        <w:rPr>
          <w:rFonts w:hint="eastAsia" w:ascii="宋体" w:hAnsi="宋体"/>
          <w:b/>
          <w:sz w:val="24"/>
          <w:szCs w:val="24"/>
          <w:lang w:val="en-US" w:eastAsia="zh-CN"/>
        </w:rPr>
        <w:t>3.7</w:t>
      </w:r>
      <w:r>
        <w:rPr>
          <w:rFonts w:hint="eastAsia" w:ascii="宋体" w:hAnsi="宋体"/>
          <w:b/>
          <w:sz w:val="24"/>
          <w:szCs w:val="24"/>
        </w:rPr>
        <w:t>、大风、大雾、雨雪、低温结冰天气安全措施</w:t>
      </w:r>
      <w:bookmarkEnd w:id="22"/>
    </w:p>
    <w:p>
      <w:pPr>
        <w:pStyle w:val="3"/>
        <w:widowControl w:val="0"/>
        <w:snapToGrid w:val="0"/>
        <w:spacing w:line="360" w:lineRule="auto"/>
        <w:ind w:firstLine="48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.1</w:t>
      </w:r>
      <w:r>
        <w:rPr>
          <w:rFonts w:ascii="宋体" w:hAnsi="宋体"/>
          <w:sz w:val="24"/>
          <w:szCs w:val="24"/>
        </w:rPr>
        <w:t>大风、大雾（能见度小于20米）、雨雪天气严禁露天高空作业。</w:t>
      </w:r>
    </w:p>
    <w:p>
      <w:pPr>
        <w:pStyle w:val="3"/>
        <w:widowControl w:val="0"/>
        <w:snapToGrid w:val="0"/>
        <w:spacing w:line="360" w:lineRule="auto"/>
        <w:ind w:firstLine="48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.2</w:t>
      </w:r>
      <w:r>
        <w:rPr>
          <w:rFonts w:ascii="宋体" w:hAnsi="宋体"/>
          <w:sz w:val="24"/>
          <w:szCs w:val="24"/>
        </w:rPr>
        <w:t>大风</w:t>
      </w:r>
      <w:r>
        <w:rPr>
          <w:rFonts w:hint="eastAsia" w:ascii="宋体" w:hAnsi="宋体"/>
          <w:sz w:val="24"/>
          <w:szCs w:val="24"/>
        </w:rPr>
        <w:t>、</w:t>
      </w:r>
      <w:r>
        <w:rPr>
          <w:rFonts w:ascii="宋体" w:hAnsi="宋体"/>
          <w:sz w:val="24"/>
          <w:szCs w:val="24"/>
        </w:rPr>
        <w:t>大雪、大雾、冷雨等恶劣天气时，必须停止露天高处作业，重新开始工作前，应组织有关人员对脚手架、</w:t>
      </w:r>
      <w:r>
        <w:rPr>
          <w:rFonts w:hint="eastAsia" w:ascii="宋体" w:hAnsi="宋体"/>
          <w:sz w:val="24"/>
          <w:szCs w:val="24"/>
        </w:rPr>
        <w:t>托木</w:t>
      </w:r>
      <w:r>
        <w:rPr>
          <w:rFonts w:ascii="宋体" w:hAnsi="宋体"/>
          <w:sz w:val="24"/>
          <w:szCs w:val="24"/>
        </w:rPr>
        <w:t>、</w:t>
      </w:r>
      <w:r>
        <w:rPr>
          <w:rFonts w:hint="eastAsia" w:ascii="宋体" w:hAnsi="宋体"/>
          <w:sz w:val="24"/>
          <w:szCs w:val="24"/>
        </w:rPr>
        <w:t>施工平台</w:t>
      </w:r>
      <w:r>
        <w:rPr>
          <w:rFonts w:ascii="宋体" w:hAnsi="宋体"/>
          <w:sz w:val="24"/>
          <w:szCs w:val="24"/>
        </w:rPr>
        <w:t>、</w:t>
      </w:r>
      <w:r>
        <w:rPr>
          <w:rFonts w:hint="eastAsia" w:ascii="宋体" w:hAnsi="宋体"/>
          <w:sz w:val="24"/>
          <w:szCs w:val="24"/>
        </w:rPr>
        <w:t>钢丝绳、铁塔</w:t>
      </w:r>
      <w:r>
        <w:rPr>
          <w:rFonts w:ascii="宋体" w:hAnsi="宋体"/>
          <w:sz w:val="24"/>
          <w:szCs w:val="24"/>
        </w:rPr>
        <w:t>缆风绳</w:t>
      </w:r>
      <w:r>
        <w:rPr>
          <w:rFonts w:hint="eastAsia" w:ascii="宋体" w:hAnsi="宋体"/>
          <w:sz w:val="24"/>
          <w:szCs w:val="24"/>
        </w:rPr>
        <w:t>、走道</w:t>
      </w:r>
      <w:r>
        <w:rPr>
          <w:rFonts w:ascii="宋体" w:hAnsi="宋体"/>
          <w:sz w:val="24"/>
          <w:szCs w:val="24"/>
        </w:rPr>
        <w:t>等所有防护设施进行全面检查。发现有倾斜、变形、松动等现象，必须及时修整、加固，经复查验收后，方可重新使用。</w:t>
      </w:r>
    </w:p>
    <w:p>
      <w:pPr>
        <w:keepNext w:val="0"/>
        <w:keepLines w:val="0"/>
        <w:pageBreakBefore w:val="0"/>
        <w:kinsoku/>
        <w:wordWrap/>
        <w:overflowPunct/>
        <w:topLinePunct/>
        <w:bidi w:val="0"/>
        <w:adjustRightInd/>
        <w:spacing w:line="360" w:lineRule="auto"/>
        <w:textAlignment w:val="auto"/>
        <w:rPr>
          <w:rFonts w:hint="eastAsia" w:ascii="宋体" w:hAnsi="宋体"/>
          <w:color w:val="000000"/>
          <w:kern w:val="21"/>
          <w:sz w:val="24"/>
        </w:rPr>
      </w:pPr>
    </w:p>
    <w:p>
      <w:pPr>
        <w:keepNext w:val="0"/>
        <w:keepLines w:val="0"/>
        <w:pageBreakBefore w:val="0"/>
        <w:kinsoku/>
        <w:wordWrap/>
        <w:overflowPunct/>
        <w:topLinePunct/>
        <w:bidi w:val="0"/>
        <w:adjustRightInd/>
        <w:spacing w:line="360" w:lineRule="auto"/>
        <w:textAlignment w:val="auto"/>
        <w:outlineLvl w:val="0"/>
        <w:rPr>
          <w:rFonts w:ascii="宋体"/>
          <w:b/>
          <w:bCs/>
          <w:color w:val="000000"/>
          <w:kern w:val="21"/>
          <w:sz w:val="24"/>
        </w:rPr>
      </w:pPr>
      <w:bookmarkStart w:id="23" w:name="_Toc6247"/>
      <w:r>
        <w:rPr>
          <w:rFonts w:ascii="宋体" w:hAnsi="宋体"/>
          <w:b/>
          <w:bCs/>
          <w:color w:val="000000"/>
          <w:kern w:val="21"/>
          <w:sz w:val="24"/>
        </w:rPr>
        <w:t>4</w:t>
      </w:r>
      <w:r>
        <w:rPr>
          <w:rFonts w:hint="eastAsia" w:ascii="宋体" w:hAnsi="宋体"/>
          <w:b/>
          <w:bCs/>
          <w:color w:val="000000"/>
          <w:kern w:val="21"/>
          <w:sz w:val="24"/>
        </w:rPr>
        <w:t>应急救援措施</w:t>
      </w:r>
      <w:bookmarkEnd w:id="23"/>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ascii="宋体" w:hAnsi="宋体"/>
          <w:color w:val="000000"/>
          <w:kern w:val="21"/>
          <w:sz w:val="24"/>
        </w:rPr>
        <w:t xml:space="preserve">4.1  </w:t>
      </w:r>
      <w:r>
        <w:rPr>
          <w:rFonts w:hint="eastAsia" w:ascii="宋体" w:hAnsi="宋体"/>
          <w:color w:val="000000"/>
          <w:kern w:val="21"/>
          <w:sz w:val="24"/>
        </w:rPr>
        <w:t>触电事件应急救援措施</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接到事故现场有关人员报告后，凡在现场的应急救援指挥机构小组成员（包括组长、副组长、成员）必须立即奔赴事故现场组织抢救，做好现场保卫工作，保护好现场并负责调查事故。在现场采取积极措施保护伤员生命，减轻伤情，减少痛苦，并根据伤情需要，迅速联系医疗部门救治。</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3</w:t>
      </w:r>
      <w:r>
        <w:rPr>
          <w:rFonts w:hint="eastAsia" w:ascii="宋体" w:hAnsi="宋体"/>
          <w:color w:val="000000"/>
          <w:kern w:val="21"/>
          <w:sz w:val="24"/>
        </w:rPr>
        <w:t>）触电者未脱离电源前，救护人员不准直接用手触及伤员。脱离电源要把触电者接触的部分带电设备的开关、刀闸或其他断路设备断开；或设法将触电者与带电设备脱离。在脱离电源中，救护人员也要注意保护自己。</w:t>
      </w:r>
    </w:p>
    <w:p>
      <w:pPr>
        <w:keepNext w:val="0"/>
        <w:keepLines w:val="0"/>
        <w:pageBreakBefore w:val="0"/>
        <w:kinsoku/>
        <w:wordWrap/>
        <w:overflowPunct/>
        <w:topLinePunct/>
        <w:bidi w:val="0"/>
        <w:adjustRightInd/>
        <w:spacing w:line="360" w:lineRule="auto"/>
        <w:ind w:firstLine="480" w:firstLineChars="200"/>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4</w:t>
      </w:r>
      <w:r>
        <w:rPr>
          <w:rFonts w:hint="eastAsia" w:ascii="宋体" w:hAnsi="宋体"/>
          <w:color w:val="000000"/>
          <w:kern w:val="21"/>
          <w:sz w:val="24"/>
        </w:rPr>
        <w:t>）如果触电者处于高处，为防止解脱电源后自高处坠落应采取预防措施。</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5</w:t>
      </w:r>
      <w:r>
        <w:rPr>
          <w:rFonts w:hint="eastAsia" w:ascii="宋体" w:hAnsi="宋体"/>
          <w:color w:val="000000"/>
          <w:kern w:val="21"/>
          <w:sz w:val="24"/>
        </w:rPr>
        <w:t>）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6</w:t>
      </w:r>
      <w:r>
        <w:rPr>
          <w:rFonts w:hint="eastAsia" w:ascii="宋体" w:hAnsi="宋体"/>
          <w:color w:val="000000"/>
          <w:kern w:val="21"/>
          <w:sz w:val="24"/>
        </w:rPr>
        <w:t>）触电者触及高压带电设备，救护人员应迅速切断电源，或用适合该电压等级的绝缘工具（绝缘手套、穿绝缘鞋、并使用绝缘棒）解脱触电者，救护人员在抢救过程中应注意保持自身与周围带电部分必要的安全距离。</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7</w:t>
      </w:r>
      <w:r>
        <w:rPr>
          <w:rFonts w:hint="eastAsia" w:ascii="宋体" w:hAnsi="宋体"/>
          <w:color w:val="000000"/>
          <w:kern w:val="21"/>
          <w:sz w:val="24"/>
        </w:rPr>
        <w:t>）高处触电紧急救护：救护人员应在确认触电者已与电源隔离，且救护人员本身所涉及环境安全距离危险电源时，方能接触伤员进行抢救，并应注意防止发生高空坠落的可能性。如伤员停止呼吸，立即口对口（鼻）吹气</w:t>
      </w:r>
      <w:r>
        <w:rPr>
          <w:rFonts w:ascii="宋体" w:hAnsi="宋体"/>
          <w:color w:val="000000"/>
          <w:kern w:val="21"/>
          <w:sz w:val="24"/>
        </w:rPr>
        <w:t>2</w:t>
      </w:r>
      <w:r>
        <w:rPr>
          <w:rFonts w:hint="eastAsia" w:ascii="宋体" w:hAnsi="宋体"/>
          <w:color w:val="000000"/>
          <w:kern w:val="21"/>
          <w:sz w:val="24"/>
        </w:rPr>
        <w:t>次，再测试颈动脉，如有搏动，则每</w:t>
      </w:r>
      <w:r>
        <w:rPr>
          <w:rFonts w:ascii="宋体" w:hAnsi="宋体"/>
          <w:color w:val="000000"/>
          <w:kern w:val="21"/>
          <w:sz w:val="24"/>
        </w:rPr>
        <w:t>5</w:t>
      </w:r>
      <w:r>
        <w:rPr>
          <w:rFonts w:hint="eastAsia" w:ascii="宋体" w:hAnsi="宋体"/>
          <w:color w:val="000000"/>
          <w:kern w:val="21"/>
          <w:sz w:val="24"/>
        </w:rPr>
        <w:t>秒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8</w:t>
      </w:r>
      <w:r>
        <w:rPr>
          <w:rFonts w:hint="eastAsia" w:ascii="宋体" w:hAnsi="宋体"/>
          <w:color w:val="000000"/>
          <w:kern w:val="21"/>
          <w:sz w:val="24"/>
        </w:rPr>
        <w:t>）触电伤员停止呼吸，重要的是始终确保气道通畅。如发现伤员口内有异物，可将其身体及头部同时侧转，迅速用一个手指或两手指交叉从口角插入，取出异物；操作中注意防止将异物推到咽喉深部。</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9</w:t>
      </w:r>
      <w:r>
        <w:rPr>
          <w:rFonts w:hint="eastAsia" w:ascii="宋体" w:hAnsi="宋体"/>
          <w:color w:val="000000"/>
          <w:kern w:val="21"/>
          <w:sz w:val="24"/>
        </w:rPr>
        <w:t>）在保持伤员气道通畅的同时，救护人员用放在伤员额上的手的手指捏住伤员鼻翼，救护人员深呼气后，与伤员口对口紧合，在不漏气的情况下，先连续大口吹气两次，每次</w:t>
      </w:r>
      <w:r>
        <w:rPr>
          <w:rFonts w:ascii="宋体" w:hAnsi="宋体"/>
          <w:color w:val="000000"/>
          <w:kern w:val="21"/>
          <w:sz w:val="24"/>
        </w:rPr>
        <w:t>1</w:t>
      </w:r>
      <w:r>
        <w:rPr>
          <w:rFonts w:hint="eastAsia" w:ascii="宋体" w:hAnsi="宋体"/>
          <w:color w:val="000000"/>
          <w:kern w:val="21"/>
          <w:sz w:val="24"/>
        </w:rPr>
        <w:t>至</w:t>
      </w:r>
      <w:r>
        <w:rPr>
          <w:rFonts w:ascii="宋体" w:hAnsi="宋体"/>
          <w:color w:val="000000"/>
          <w:kern w:val="21"/>
          <w:sz w:val="24"/>
        </w:rPr>
        <w:t>1.5</w:t>
      </w:r>
      <w:r>
        <w:rPr>
          <w:rFonts w:hint="eastAsia" w:ascii="宋体" w:hAnsi="宋体"/>
          <w:color w:val="000000"/>
          <w:kern w:val="21"/>
          <w:sz w:val="24"/>
        </w:rPr>
        <w:t>秒。如两次吹气</w:t>
      </w:r>
      <w:r>
        <w:rPr>
          <w:rFonts w:hint="eastAsia" w:ascii="宋体" w:hAnsi="宋体"/>
          <w:color w:val="000000"/>
          <w:spacing w:val="2"/>
          <w:kern w:val="21"/>
          <w:sz w:val="24"/>
        </w:rPr>
        <w:t>后测试颈动脉仍无搏动，可判断心跳已经停止，要立即同时进行胸外按压。除开始时大口吹气两次外，</w:t>
      </w:r>
      <w:r>
        <w:rPr>
          <w:rFonts w:hint="eastAsia" w:ascii="宋体" w:hAnsi="宋体"/>
          <w:color w:val="000000"/>
          <w:kern w:val="21"/>
          <w:sz w:val="24"/>
        </w:rPr>
        <w:t>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4.2  </w:t>
      </w:r>
      <w:r>
        <w:rPr>
          <w:rFonts w:hint="eastAsia" w:ascii="宋体" w:hAnsi="宋体"/>
          <w:color w:val="000000"/>
          <w:kern w:val="21"/>
          <w:sz w:val="24"/>
        </w:rPr>
        <w:t>火灾事故应急救援措施</w:t>
      </w:r>
    </w:p>
    <w:p>
      <w:pPr>
        <w:keepNext w:val="0"/>
        <w:keepLines w:val="0"/>
        <w:pageBreakBefore w:val="0"/>
        <w:widowControl/>
        <w:kinsoku/>
        <w:wordWrap/>
        <w:overflowPunct/>
        <w:bidi w:val="0"/>
        <w:adjustRightInd/>
        <w:snapToGrid w:val="0"/>
        <w:spacing w:line="360" w:lineRule="auto"/>
        <w:jc w:val="left"/>
        <w:textAlignment w:val="auto"/>
        <w:rPr>
          <w:rFonts w:ascii="宋体"/>
          <w:color w:val="000000"/>
          <w:kern w:val="21"/>
          <w:sz w:val="24"/>
        </w:rPr>
      </w:pPr>
      <w:r>
        <w:rPr>
          <w:rFonts w:hint="eastAsia" w:ascii="宋体" w:hAnsi="宋体"/>
          <w:color w:val="000000"/>
          <w:kern w:val="21"/>
          <w:sz w:val="24"/>
        </w:rPr>
        <w:t>任何员工一旦发现火情，视火情的严重情况进行以下操作：</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⑴局部轻微着火，不危及人员安全、可以马上扑灭的立即进行扑灭。</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⑵局部着火，可以扑灭但有可能蔓延扩大的，在不危及人员安全的情况下，一方面立即通知周围人员参与灭火，防止火势蔓延扩大，一方面向现场管理者汇报。</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⑶火势开始蔓延扩大，不可能马上扑灭的，按照以下情况处理：</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ascii="宋体" w:hAnsi="宋体"/>
          <w:color w:val="000000"/>
          <w:kern w:val="21"/>
          <w:sz w:val="24"/>
        </w:rPr>
        <w:t xml:space="preserve">a </w:t>
      </w:r>
      <w:r>
        <w:rPr>
          <w:rFonts w:hint="eastAsia" w:ascii="宋体" w:hAnsi="宋体"/>
          <w:color w:val="000000"/>
          <w:kern w:val="21"/>
          <w:sz w:val="24"/>
        </w:rPr>
        <w:t>现场最高领导者立即进行人员的紧急疏散</w:t>
      </w:r>
      <w:r>
        <w:rPr>
          <w:rFonts w:ascii="宋体"/>
          <w:color w:val="000000"/>
          <w:kern w:val="21"/>
          <w:sz w:val="24"/>
        </w:rPr>
        <w:t>,</w:t>
      </w:r>
      <w:r>
        <w:rPr>
          <w:rFonts w:hint="eastAsia" w:ascii="宋体" w:hAnsi="宋体"/>
          <w:color w:val="000000"/>
          <w:kern w:val="21"/>
          <w:sz w:val="24"/>
        </w:rPr>
        <w:t>指定安全疏散地点</w:t>
      </w:r>
      <w:r>
        <w:rPr>
          <w:rFonts w:ascii="宋体"/>
          <w:color w:val="000000"/>
          <w:kern w:val="21"/>
          <w:sz w:val="24"/>
        </w:rPr>
        <w:t>,</w:t>
      </w:r>
      <w:r>
        <w:rPr>
          <w:rFonts w:hint="eastAsia" w:ascii="宋体" w:hAnsi="宋体"/>
          <w:color w:val="000000"/>
          <w:kern w:val="21"/>
          <w:sz w:val="24"/>
        </w:rPr>
        <w:t>并组织清点疏散人数</w:t>
      </w:r>
      <w:r>
        <w:rPr>
          <w:rFonts w:ascii="宋体"/>
          <w:color w:val="000000"/>
          <w:kern w:val="21"/>
          <w:sz w:val="24"/>
        </w:rPr>
        <w:t>,</w:t>
      </w:r>
      <w:r>
        <w:rPr>
          <w:rFonts w:hint="eastAsia" w:ascii="宋体" w:hAnsi="宋体"/>
          <w:color w:val="000000"/>
          <w:kern w:val="21"/>
          <w:sz w:val="24"/>
        </w:rPr>
        <w:t>发现有缺少人员的情况时</w:t>
      </w:r>
      <w:r>
        <w:rPr>
          <w:rFonts w:ascii="宋体"/>
          <w:color w:val="000000"/>
          <w:kern w:val="21"/>
          <w:sz w:val="24"/>
        </w:rPr>
        <w:t>,</w:t>
      </w:r>
      <w:r>
        <w:rPr>
          <w:rFonts w:hint="eastAsia" w:ascii="宋体" w:hAnsi="宋体"/>
          <w:color w:val="000000"/>
          <w:kern w:val="21"/>
          <w:sz w:val="24"/>
        </w:rPr>
        <w:t>立即通知项目经理或消防队员。</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ascii="宋体" w:hAnsi="宋体"/>
          <w:color w:val="000000"/>
          <w:kern w:val="21"/>
          <w:sz w:val="24"/>
        </w:rPr>
        <w:t xml:space="preserve">b </w:t>
      </w:r>
      <w:r>
        <w:rPr>
          <w:rFonts w:hint="eastAsia" w:ascii="宋体" w:hAnsi="宋体"/>
          <w:color w:val="000000"/>
          <w:kern w:val="21"/>
          <w:sz w:val="24"/>
        </w:rPr>
        <w:t>现场最高领导者马上向公司领导汇报。</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ascii="宋体" w:hAnsi="宋体"/>
          <w:color w:val="000000"/>
          <w:kern w:val="21"/>
          <w:sz w:val="24"/>
        </w:rPr>
        <w:t xml:space="preserve">c </w:t>
      </w:r>
      <w:r>
        <w:rPr>
          <w:rFonts w:hint="eastAsia" w:ascii="宋体" w:hAnsi="宋体"/>
          <w:color w:val="000000"/>
          <w:kern w:val="21"/>
          <w:sz w:val="24"/>
        </w:rPr>
        <w:t>现场最高领导者立即拨打消防报警电话</w:t>
      </w:r>
      <w:r>
        <w:rPr>
          <w:rFonts w:ascii="宋体" w:hAnsi="宋体"/>
          <w:color w:val="000000"/>
          <w:kern w:val="21"/>
          <w:sz w:val="24"/>
        </w:rPr>
        <w:t>"119"</w:t>
      </w:r>
      <w:r>
        <w:rPr>
          <w:rFonts w:hint="eastAsia" w:ascii="宋体" w:hAnsi="宋体"/>
          <w:color w:val="000000"/>
          <w:kern w:val="21"/>
          <w:sz w:val="24"/>
        </w:rPr>
        <w:t>，通报以下信息：</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地址：事故发生地点</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火灾情况：着火物资及火势大小</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联系电话：</w:t>
      </w:r>
      <w:r>
        <w:rPr>
          <w:rFonts w:ascii="宋体" w:hAnsi="宋体"/>
          <w:color w:val="000000"/>
          <w:kern w:val="21"/>
          <w:sz w:val="24"/>
        </w:rPr>
        <w:t>***********</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在回答了</w:t>
      </w:r>
      <w:r>
        <w:rPr>
          <w:rFonts w:ascii="宋体" w:hAnsi="宋体"/>
          <w:color w:val="000000"/>
          <w:kern w:val="21"/>
          <w:sz w:val="24"/>
        </w:rPr>
        <w:t>"119"</w:t>
      </w:r>
      <w:r>
        <w:rPr>
          <w:rFonts w:hint="eastAsia" w:ascii="宋体" w:hAnsi="宋体"/>
          <w:color w:val="000000"/>
          <w:kern w:val="21"/>
          <w:sz w:val="24"/>
        </w:rPr>
        <w:t>的询问后派人在路口接应消防车，并组织人员到火场切断电源、维持秩序。</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ascii="宋体" w:hAnsi="宋体"/>
          <w:color w:val="000000"/>
          <w:kern w:val="21"/>
          <w:sz w:val="24"/>
        </w:rPr>
        <w:t xml:space="preserve">d </w:t>
      </w:r>
      <w:r>
        <w:rPr>
          <w:rFonts w:hint="eastAsia" w:ascii="宋体" w:hAnsi="宋体"/>
          <w:color w:val="000000"/>
          <w:kern w:val="21"/>
          <w:sz w:val="24"/>
        </w:rPr>
        <w:t>若有人员受伤，立即送往医院或并拨打救护电话</w:t>
      </w:r>
      <w:r>
        <w:rPr>
          <w:rFonts w:ascii="宋体" w:hAnsi="宋体"/>
          <w:color w:val="000000"/>
          <w:kern w:val="21"/>
          <w:sz w:val="24"/>
        </w:rPr>
        <w:t>"120"</w:t>
      </w:r>
      <w:r>
        <w:rPr>
          <w:rFonts w:hint="eastAsia" w:ascii="宋体" w:hAnsi="宋体"/>
          <w:color w:val="000000"/>
          <w:kern w:val="21"/>
          <w:sz w:val="24"/>
        </w:rPr>
        <w:t>与医院联系。</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 xml:space="preserve">4.3  </w:t>
      </w:r>
      <w:r>
        <w:rPr>
          <w:rFonts w:hint="eastAsia" w:ascii="宋体" w:hAnsi="宋体"/>
          <w:color w:val="000000"/>
          <w:kern w:val="21"/>
          <w:sz w:val="24"/>
        </w:rPr>
        <w:t>食物中毒事故应急救援措施</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）任何员工发现有食物中毒的症状如呕吐、腹痛、昏迷应立即拨打</w:t>
      </w:r>
      <w:r>
        <w:rPr>
          <w:rFonts w:ascii="宋体" w:hAnsi="宋体"/>
          <w:color w:val="000000"/>
          <w:kern w:val="21"/>
          <w:sz w:val="24"/>
        </w:rPr>
        <w:t>120</w:t>
      </w:r>
      <w:r>
        <w:rPr>
          <w:rFonts w:hint="eastAsia" w:ascii="宋体" w:hAnsi="宋体"/>
          <w:color w:val="000000"/>
          <w:kern w:val="21"/>
          <w:sz w:val="24"/>
        </w:rPr>
        <w:t>急救电话。</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）未中毒或症状较轻的人员应到主要路口接应救护车。</w:t>
      </w:r>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3</w:t>
      </w:r>
      <w:r>
        <w:rPr>
          <w:rFonts w:hint="eastAsia" w:ascii="宋体" w:hAnsi="宋体"/>
          <w:color w:val="000000"/>
          <w:kern w:val="21"/>
          <w:sz w:val="24"/>
        </w:rPr>
        <w:t>）保存好就餐时所有成品及未成品，以备检验。</w:t>
      </w:r>
    </w:p>
    <w:p>
      <w:pPr>
        <w:keepNext w:val="0"/>
        <w:keepLines w:val="0"/>
        <w:pageBreakBefore w:val="0"/>
        <w:kinsoku/>
        <w:wordWrap/>
        <w:overflowPunct/>
        <w:topLinePunct/>
        <w:bidi w:val="0"/>
        <w:adjustRightInd/>
        <w:spacing w:line="360" w:lineRule="auto"/>
        <w:textAlignment w:val="auto"/>
        <w:outlineLvl w:val="0"/>
        <w:rPr>
          <w:rFonts w:ascii="宋体"/>
          <w:b/>
          <w:color w:val="000000"/>
          <w:kern w:val="21"/>
          <w:sz w:val="24"/>
        </w:rPr>
      </w:pPr>
      <w:bookmarkStart w:id="24" w:name="_Toc18353"/>
      <w:r>
        <w:rPr>
          <w:rFonts w:ascii="宋体" w:hAnsi="宋体"/>
          <w:b/>
          <w:color w:val="000000"/>
          <w:kern w:val="21"/>
          <w:sz w:val="24"/>
        </w:rPr>
        <w:t>5</w:t>
      </w:r>
      <w:r>
        <w:rPr>
          <w:rFonts w:hint="eastAsia" w:ascii="宋体" w:hAnsi="宋体"/>
          <w:b/>
          <w:color w:val="000000"/>
          <w:kern w:val="21"/>
          <w:sz w:val="24"/>
        </w:rPr>
        <w:t>演练计划</w:t>
      </w:r>
      <w:bookmarkEnd w:id="24"/>
    </w:p>
    <w:p>
      <w:pPr>
        <w:keepNext w:val="0"/>
        <w:keepLines w:val="0"/>
        <w:pageBreakBefore w:val="0"/>
        <w:kinsoku/>
        <w:wordWrap/>
        <w:overflowPunct/>
        <w:topLinePunct/>
        <w:bidi w:val="0"/>
        <w:adjustRightInd/>
        <w:spacing w:line="360" w:lineRule="auto"/>
        <w:textAlignment w:val="auto"/>
        <w:rPr>
          <w:rFonts w:ascii="宋体"/>
          <w:color w:val="000000"/>
          <w:kern w:val="21"/>
          <w:sz w:val="24"/>
        </w:rPr>
      </w:pPr>
      <w:r>
        <w:rPr>
          <w:rFonts w:ascii="宋体" w:hAnsi="宋体"/>
          <w:color w:val="000000"/>
          <w:kern w:val="21"/>
          <w:sz w:val="24"/>
        </w:rPr>
        <w:t>5.1</w:t>
      </w:r>
      <w:r>
        <w:rPr>
          <w:rFonts w:hint="eastAsia" w:ascii="宋体" w:hAnsi="宋体"/>
          <w:color w:val="000000"/>
          <w:kern w:val="21"/>
          <w:sz w:val="24"/>
        </w:rPr>
        <w:t>演练时间应急反应预案确立后，经过有效的培训，应做到项目部开工后演练一次，不定期举行演练，施工作业人员变动较大时增加演练次数。</w:t>
      </w:r>
    </w:p>
    <w:p>
      <w:pPr>
        <w:keepNext w:val="0"/>
        <w:keepLines w:val="0"/>
        <w:pageBreakBefore w:val="0"/>
        <w:widowControl/>
        <w:kinsoku/>
        <w:wordWrap/>
        <w:overflowPunct/>
        <w:bidi w:val="0"/>
        <w:adjustRightInd/>
        <w:snapToGrid w:val="0"/>
        <w:spacing w:line="360" w:lineRule="auto"/>
        <w:jc w:val="left"/>
        <w:textAlignment w:val="auto"/>
        <w:rPr>
          <w:rFonts w:ascii="宋体"/>
          <w:color w:val="000000"/>
          <w:kern w:val="21"/>
          <w:sz w:val="24"/>
        </w:rPr>
      </w:pPr>
      <w:r>
        <w:rPr>
          <w:rFonts w:ascii="宋体" w:hAnsi="宋体"/>
          <w:color w:val="000000"/>
          <w:kern w:val="21"/>
          <w:sz w:val="24"/>
        </w:rPr>
        <w:t>5.2</w:t>
      </w:r>
      <w:r>
        <w:rPr>
          <w:rFonts w:hint="eastAsia" w:ascii="宋体" w:hAnsi="宋体"/>
          <w:color w:val="000000"/>
          <w:kern w:val="21"/>
          <w:sz w:val="24"/>
        </w:rPr>
        <w:t>火灾扑救指挥程序</w:t>
      </w:r>
    </w:p>
    <w:p>
      <w:pPr>
        <w:keepNext w:val="0"/>
        <w:keepLines w:val="0"/>
        <w:pageBreakBefore w:val="0"/>
        <w:widowControl/>
        <w:kinsoku/>
        <w:wordWrap/>
        <w:overflowPunct/>
        <w:bidi w:val="0"/>
        <w:adjustRightInd/>
        <w:snapToGrid w:val="0"/>
        <w:spacing w:line="360" w:lineRule="auto"/>
        <w:jc w:val="left"/>
        <w:textAlignment w:val="auto"/>
        <w:rPr>
          <w:rFonts w:ascii="宋体"/>
          <w:color w:val="000000"/>
          <w:kern w:val="21"/>
          <w:sz w:val="24"/>
        </w:rPr>
      </w:pPr>
      <w:r>
        <w:rPr>
          <w:rFonts w:hint="eastAsia" w:ascii="宋体" w:hAnsi="宋体"/>
          <w:color w:val="000000"/>
          <w:kern w:val="21"/>
          <w:sz w:val="24"/>
        </w:rPr>
        <w:t>⑴查明情况</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起火部位、燃烧物的性质、火灾范围、火势蔓延路线及发展方向。</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是否有人被困、查清被困人员数量和所处位置及最佳疏散通道。</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有无爆炸及毒性物质、查清数量、存放地点、存放形式及危险程度。</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查明贵重财物的数量及存放点、存放形式及受火势威胁的程度，判断是否需要疏散和保护。</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起火建筑的结构、耐火等级，与毗邻建筑的距离，火场建筑有无倒塌危险，需要破拆的部位。</w:t>
      </w:r>
    </w:p>
    <w:p>
      <w:pPr>
        <w:keepNext w:val="0"/>
        <w:keepLines w:val="0"/>
        <w:pageBreakBefore w:val="0"/>
        <w:widowControl/>
        <w:kinsoku/>
        <w:wordWrap/>
        <w:overflowPunct/>
        <w:bidi w:val="0"/>
        <w:adjustRightInd/>
        <w:snapToGrid w:val="0"/>
        <w:spacing w:line="360" w:lineRule="auto"/>
        <w:jc w:val="left"/>
        <w:textAlignment w:val="auto"/>
        <w:rPr>
          <w:rFonts w:ascii="宋体"/>
          <w:color w:val="000000"/>
          <w:kern w:val="21"/>
          <w:sz w:val="24"/>
        </w:rPr>
      </w:pPr>
      <w:r>
        <w:rPr>
          <w:rFonts w:hint="eastAsia" w:ascii="宋体" w:hAnsi="宋体"/>
          <w:color w:val="000000"/>
          <w:kern w:val="21"/>
          <w:sz w:val="24"/>
        </w:rPr>
        <w:t>⑵抢救被困人员、疏散群众、物资</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在查明火情后，火场总指挥应遵循先救人后救物的原则，抢救被困人员，疏散群众和物资。一般情况下，绝大多数的遇险人员可以安全地疏散或自救</w:t>
      </w:r>
      <w:r>
        <w:rPr>
          <w:rFonts w:ascii="宋体"/>
          <w:color w:val="000000"/>
          <w:kern w:val="21"/>
          <w:sz w:val="24"/>
        </w:rPr>
        <w:t>,</w:t>
      </w:r>
      <w:r>
        <w:rPr>
          <w:rFonts w:hint="eastAsia" w:ascii="宋体" w:hAnsi="宋体"/>
          <w:color w:val="000000"/>
          <w:kern w:val="21"/>
          <w:sz w:val="24"/>
        </w:rPr>
        <w:t>脱离险境。因此，必须坚定自救的意识，不要惊慌失措，要冷静观察，采取可行的措施进行疏散自救。</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寻找被困者：大声呼唤、深入搜寻（注意出入口的通道、走廊、门窗边、床上床下、墙角、柜橱、桌下、卫生间等隐蔽处）。</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救援被困者：对神智清醒人员，指路自行脱离火场；对神智不清人员，带路脱离火场；对伤、病、残人员及儿童要背、抱、抬出火场；当正常通道被隔断时，要利用绳、梯等将人救出。</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因地制宜组织有可能被火势殃及的建筑物内的群众疏散。</w:t>
      </w:r>
      <w:r>
        <w:rPr>
          <w:rFonts w:ascii="宋体" w:hAnsi="宋体"/>
          <w:color w:val="000000"/>
          <w:kern w:val="21"/>
          <w:sz w:val="24"/>
        </w:rPr>
        <w:t xml:space="preserve"> </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抢救贵重物资。</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选择好被救物资堆放点和消防车入场路线。</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疏散时，如果人员较多或能见度很差时，应在熟悉疏散通道布置的人员带领下，鱼贯地撤离事故现场。带领人可用绳子牵领，用“跟着我”的喊话或前后扯衣襟的方法将人员撤至室外或安全地点。</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在撤离事故现场的途中被浓烟所围困时，由于浓烟一般是向上流动，地面上的烟雾相对比较稀薄，因此可采用低姿势行走或匍匐穿过浓烟；如果有条件，可用湿毛巾等捂住嘴、鼻或用短呼吸法，用鼻子呼吸，以便迅速撤出烟雾区。</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楼房楼下着火时，楼上的人不要惊慌失措，应根据现场的不同情况采取正确的自救措施。</w:t>
      </w:r>
    </w:p>
    <w:p>
      <w:pPr>
        <w:keepNext w:val="0"/>
        <w:keepLines w:val="0"/>
        <w:pageBreakBefore w:val="0"/>
        <w:widowControl/>
        <w:kinsoku/>
        <w:wordWrap/>
        <w:overflowPunct/>
        <w:bidi w:val="0"/>
        <w:adjustRightInd/>
        <w:snapToGrid w:val="0"/>
        <w:spacing w:line="360" w:lineRule="auto"/>
        <w:ind w:firstLine="480" w:firstLineChars="200"/>
        <w:jc w:val="left"/>
        <w:textAlignment w:val="auto"/>
        <w:rPr>
          <w:rFonts w:ascii="宋体"/>
          <w:color w:val="000000"/>
          <w:kern w:val="21"/>
          <w:sz w:val="24"/>
        </w:rPr>
      </w:pPr>
      <w:r>
        <w:rPr>
          <w:rFonts w:hint="eastAsia" w:ascii="宋体" w:hAnsi="宋体"/>
          <w:color w:val="000000"/>
          <w:kern w:val="21"/>
          <w:sz w:val="24"/>
        </w:rPr>
        <w:t>火灾时身穿衣帽一旦着火，应尽快地把衣帽脱掉，如果来不及，可把衣服撕碎仍掉。切记不能奔跑，那样会使身上的火越烧越旺，还会把火种带到其它场所，引起新的火点；身上着火，可就地倒下打滚，把身上的火压灭。在场的人员可帮助灭火。</w:t>
      </w:r>
    </w:p>
    <w:p>
      <w:pPr>
        <w:keepNext w:val="0"/>
        <w:keepLines w:val="0"/>
        <w:pageBreakBefore w:val="0"/>
        <w:widowControl/>
        <w:kinsoku/>
        <w:wordWrap/>
        <w:overflowPunct/>
        <w:bidi w:val="0"/>
        <w:adjustRightInd/>
        <w:snapToGrid w:val="0"/>
        <w:spacing w:line="360" w:lineRule="auto"/>
        <w:jc w:val="left"/>
        <w:textAlignment w:val="auto"/>
        <w:rPr>
          <w:rFonts w:ascii="宋体"/>
          <w:color w:val="000000"/>
          <w:kern w:val="21"/>
          <w:sz w:val="24"/>
        </w:rPr>
      </w:pPr>
      <w:bookmarkStart w:id="25" w:name="_Toc148949524"/>
      <w:r>
        <w:rPr>
          <w:rFonts w:ascii="宋体" w:hAnsi="宋体"/>
          <w:color w:val="000000"/>
          <w:kern w:val="21"/>
          <w:sz w:val="24"/>
        </w:rPr>
        <w:t xml:space="preserve">5.3 </w:t>
      </w:r>
      <w:r>
        <w:rPr>
          <w:rFonts w:hint="eastAsia" w:ascii="宋体" w:hAnsi="宋体"/>
          <w:color w:val="000000"/>
          <w:kern w:val="21"/>
          <w:sz w:val="24"/>
        </w:rPr>
        <w:t>演练目的</w:t>
      </w:r>
      <w:bookmarkEnd w:id="25"/>
    </w:p>
    <w:p>
      <w:pPr>
        <w:keepNext w:val="0"/>
        <w:keepLines w:val="0"/>
        <w:pageBreakBefore w:val="0"/>
        <w:widowControl/>
        <w:kinsoku/>
        <w:wordWrap/>
        <w:overflowPunct/>
        <w:bidi w:val="0"/>
        <w:adjustRightInd/>
        <w:snapToGrid w:val="0"/>
        <w:spacing w:line="360" w:lineRule="auto"/>
        <w:jc w:val="left"/>
        <w:textAlignment w:val="auto"/>
        <w:rPr>
          <w:rFonts w:ascii="宋体"/>
          <w:color w:val="000000"/>
          <w:kern w:val="21"/>
          <w:sz w:val="24"/>
        </w:rPr>
      </w:pPr>
      <w:r>
        <w:rPr>
          <w:rFonts w:hint="eastAsia" w:ascii="宋体" w:hAnsi="宋体"/>
          <w:color w:val="000000"/>
          <w:kern w:val="21"/>
          <w:sz w:val="24"/>
        </w:rPr>
        <w:t>⑴测试预案和措施的充分程度。</w:t>
      </w:r>
    </w:p>
    <w:p>
      <w:pPr>
        <w:keepNext w:val="0"/>
        <w:keepLines w:val="0"/>
        <w:pageBreakBefore w:val="0"/>
        <w:widowControl/>
        <w:kinsoku/>
        <w:wordWrap/>
        <w:overflowPunct/>
        <w:bidi w:val="0"/>
        <w:adjustRightInd/>
        <w:snapToGrid w:val="0"/>
        <w:spacing w:line="360" w:lineRule="auto"/>
        <w:jc w:val="left"/>
        <w:textAlignment w:val="auto"/>
        <w:rPr>
          <w:rFonts w:ascii="宋体"/>
          <w:color w:val="000000"/>
          <w:kern w:val="21"/>
          <w:sz w:val="24"/>
        </w:rPr>
      </w:pPr>
      <w:r>
        <w:rPr>
          <w:rFonts w:hint="eastAsia" w:ascii="宋体" w:hAnsi="宋体"/>
          <w:color w:val="000000"/>
          <w:kern w:val="21"/>
          <w:sz w:val="24"/>
        </w:rPr>
        <w:t>⑵测试应急培训的有效性和应急人员的熟练性。</w:t>
      </w:r>
    </w:p>
    <w:p>
      <w:pPr>
        <w:keepNext w:val="0"/>
        <w:keepLines w:val="0"/>
        <w:pageBreakBefore w:val="0"/>
        <w:widowControl/>
        <w:kinsoku/>
        <w:wordWrap/>
        <w:overflowPunct/>
        <w:bidi w:val="0"/>
        <w:adjustRightInd/>
        <w:snapToGrid w:val="0"/>
        <w:spacing w:line="360" w:lineRule="auto"/>
        <w:jc w:val="left"/>
        <w:textAlignment w:val="auto"/>
        <w:rPr>
          <w:rFonts w:ascii="宋体"/>
          <w:color w:val="000000"/>
          <w:kern w:val="21"/>
          <w:sz w:val="24"/>
        </w:rPr>
      </w:pPr>
      <w:r>
        <w:rPr>
          <w:rFonts w:hint="eastAsia" w:ascii="宋体" w:hAnsi="宋体"/>
          <w:color w:val="000000"/>
          <w:kern w:val="21"/>
          <w:sz w:val="24"/>
        </w:rPr>
        <w:t>⑶测试现有应急反应装置、设备和其他资源的充分性。</w:t>
      </w:r>
    </w:p>
    <w:p>
      <w:pPr>
        <w:keepNext w:val="0"/>
        <w:keepLines w:val="0"/>
        <w:pageBreakBefore w:val="0"/>
        <w:kinsoku/>
        <w:wordWrap/>
        <w:overflowPunct/>
        <w:bidi w:val="0"/>
        <w:adjustRightInd/>
        <w:spacing w:line="360" w:lineRule="auto"/>
        <w:textAlignment w:val="auto"/>
        <w:rPr>
          <w:rFonts w:ascii="宋体"/>
          <w:color w:val="000000"/>
          <w:kern w:val="21"/>
          <w:sz w:val="24"/>
        </w:rPr>
      </w:pPr>
      <w:r>
        <w:rPr>
          <w:rFonts w:hint="eastAsia" w:ascii="宋体" w:hAnsi="宋体"/>
          <w:color w:val="000000"/>
          <w:kern w:val="21"/>
          <w:sz w:val="24"/>
        </w:rPr>
        <w:t>⑷通过演练来判别和改进应急预案中的缺陷和不足。</w:t>
      </w:r>
    </w:p>
    <w:p>
      <w:pPr>
        <w:keepNext w:val="0"/>
        <w:keepLines w:val="0"/>
        <w:pageBreakBefore w:val="0"/>
        <w:kinsoku/>
        <w:wordWrap/>
        <w:overflowPunct/>
        <w:bidi w:val="0"/>
        <w:adjustRightInd/>
        <w:spacing w:line="360" w:lineRule="auto"/>
        <w:textAlignment w:val="auto"/>
      </w:pPr>
    </w:p>
    <w:p>
      <w:pPr>
        <w:rPr>
          <w:rFonts w:hint="eastAsia" w:ascii="仿宋_GB2312" w:eastAsia="仿宋_GB2312"/>
          <w:sz w:val="28"/>
          <w:szCs w:val="28"/>
        </w:rPr>
      </w:pPr>
    </w:p>
    <w:p>
      <w:pPr>
        <w:keepNext w:val="0"/>
        <w:keepLines w:val="0"/>
        <w:pageBreakBefore w:val="0"/>
        <w:kinsoku/>
        <w:wordWrap/>
        <w:overflowPunct/>
        <w:bidi w:val="0"/>
        <w:adjustRightInd/>
        <w:spacing w:line="360" w:lineRule="auto"/>
        <w:textAlignment w:val="auto"/>
        <w:rPr>
          <w:sz w:val="21"/>
          <w:szCs w:val="21"/>
        </w:rPr>
      </w:pPr>
    </w:p>
    <w:p/>
    <w:sectPr>
      <w:footerReference r:id="rId3" w:type="default"/>
      <w:pgSz w:w="11906" w:h="16838"/>
      <w:pgMar w:top="1417" w:right="850" w:bottom="850"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A3D6B"/>
    <w:multiLevelType w:val="multilevel"/>
    <w:tmpl w:val="47DA3D6B"/>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11"/>
      <w:suff w:val="nothing"/>
      <w:lvlText w:val="%1%2　"/>
      <w:lvlJc w:val="left"/>
      <w:rPr>
        <w:rFonts w:hint="eastAsia" w:ascii="黑体" w:hAnsi="Times New Roman" w:eastAsia="黑体" w:cs="Times New Roman"/>
        <w:b w:val="0"/>
        <w:i w:val="0"/>
        <w:sz w:val="21"/>
      </w:rPr>
    </w:lvl>
    <w:lvl w:ilvl="2" w:tentative="0">
      <w:start w:val="1"/>
      <w:numFmt w:val="decimal"/>
      <w:pStyle w:val="10"/>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735"/>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YjA3N2QxMDlkYmMwZmFjM2ZjYjg5MmIyYmNiMTgifQ=="/>
  </w:docVars>
  <w:rsids>
    <w:rsidRoot w:val="11696DAD"/>
    <w:rsid w:val="0F2956C4"/>
    <w:rsid w:val="11696DAD"/>
    <w:rsid w:val="15E2391D"/>
    <w:rsid w:val="1A8C2021"/>
    <w:rsid w:val="1C4F30F9"/>
    <w:rsid w:val="2B494EE0"/>
    <w:rsid w:val="429D2F2B"/>
    <w:rsid w:val="57631674"/>
    <w:rsid w:val="5E016B3B"/>
    <w:rsid w:val="6E150129"/>
    <w:rsid w:val="745D5F20"/>
    <w:rsid w:val="7D95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before="60" w:after="60" w:line="120" w:lineRule="auto"/>
      <w:jc w:val="left"/>
    </w:pPr>
    <w:rPr>
      <w:rFonts w:ascii="宋体" w:hAnsi="Times New Roman"/>
      <w:spacing w:val="-6"/>
      <w:sz w:val="32"/>
      <w:szCs w:val="20"/>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customStyle="1" w:styleId="8">
    <w:name w:val="Default"/>
    <w:basedOn w:val="1"/>
    <w:qFormat/>
    <w:uiPriority w:val="0"/>
    <w:pPr>
      <w:autoSpaceDE w:val="0"/>
      <w:autoSpaceDN w:val="0"/>
      <w:adjustRightInd w:val="0"/>
    </w:pPr>
    <w:rPr>
      <w:rFonts w:ascii="黑体" w:hAnsi="Calibri" w:eastAsia="黑体" w:cs="黑体"/>
      <w:color w:val="000000"/>
      <w:sz w:val="24"/>
    </w:rPr>
  </w:style>
  <w:style w:type="paragraph" w:customStyle="1" w:styleId="9">
    <w:name w:val="段"/>
    <w:qFormat/>
    <w:uiPriority w:val="99"/>
    <w:pPr>
      <w:autoSpaceDE w:val="0"/>
      <w:autoSpaceDN w:val="0"/>
      <w:ind w:firstLine="200" w:firstLineChars="200"/>
      <w:jc w:val="both"/>
    </w:pPr>
    <w:rPr>
      <w:rFonts w:ascii="宋体" w:hAnsi="Calibri" w:eastAsia="宋体" w:cs="Times New Roman"/>
      <w:kern w:val="0"/>
      <w:sz w:val="21"/>
      <w:szCs w:val="22"/>
      <w:lang w:val="en-US" w:eastAsia="zh-CN" w:bidi="ar-SA"/>
    </w:rPr>
  </w:style>
  <w:style w:type="paragraph" w:customStyle="1" w:styleId="10">
    <w:name w:val="一级条标题"/>
    <w:basedOn w:val="11"/>
    <w:next w:val="9"/>
    <w:qFormat/>
    <w:uiPriority w:val="99"/>
    <w:pPr>
      <w:numPr>
        <w:ilvl w:val="2"/>
      </w:numPr>
      <w:spacing w:beforeLines="0" w:afterLines="0"/>
      <w:outlineLvl w:val="2"/>
    </w:pPr>
  </w:style>
  <w:style w:type="paragraph" w:customStyle="1" w:styleId="11">
    <w:name w:val="章标题"/>
    <w:next w:val="9"/>
    <w:qFormat/>
    <w:uiPriority w:val="99"/>
    <w:pPr>
      <w:numPr>
        <w:ilvl w:val="1"/>
        <w:numId w:val="1"/>
      </w:numPr>
      <w:spacing w:beforeLines="50" w:afterLines="50"/>
      <w:jc w:val="both"/>
      <w:outlineLvl w:val="1"/>
    </w:pPr>
    <w:rPr>
      <w:rFonts w:ascii="黑体" w:hAnsi="Calibri" w:eastAsia="黑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9151</Words>
  <Characters>9435</Characters>
  <Lines>0</Lines>
  <Paragraphs>0</Paragraphs>
  <TotalTime>1</TotalTime>
  <ScaleCrop>false</ScaleCrop>
  <LinksUpToDate>false</LinksUpToDate>
  <CharactersWithSpaces>9595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2022-12-27T00:25:00Z</dcterms:created>
  <dc:creator>原始月</dc:creator>
  <cp:lastModifiedBy>WPS_1624587906</cp:lastModifiedBy>
  <dcterms:modified xsi:type="dcterms:W3CDTF">2023-07-07T08:53:33Z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91BAE6202CEC438FB6A6AE2D4F1C4BE0</vt:lpwstr>
  </property>
</Properties>
</file>