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67" w:hanging="1767" w:hangingChars="400"/>
        <w:jc w:val="both"/>
        <w:rPr>
          <w:rFonts w:hint="eastAsia"/>
          <w:b/>
          <w:sz w:val="44"/>
          <w:szCs w:val="44"/>
        </w:rPr>
      </w:pPr>
      <w:bookmarkStart w:id="0" w:name="_Hlk28766499"/>
      <w:r>
        <w:rPr>
          <w:rFonts w:hint="eastAsia"/>
          <w:b/>
          <w:bCs/>
          <w:sz w:val="44"/>
          <w:szCs w:val="44"/>
          <w:lang w:val="en-US" w:eastAsia="zh-CN"/>
        </w:rPr>
        <w:t>无锡三峰汽车零部件有限公司1.6MWh工商业储能项目</w:t>
      </w:r>
      <w:r>
        <w:rPr>
          <w:rFonts w:hint="eastAsia"/>
          <w:b/>
          <w:sz w:val="44"/>
          <w:szCs w:val="44"/>
        </w:rPr>
        <w:t>监理项目</w:t>
      </w:r>
    </w:p>
    <w:p>
      <w:pPr>
        <w:ind w:firstLine="442" w:firstLineChars="100"/>
        <w:jc w:val="both"/>
        <w:rPr>
          <w:b/>
          <w:color w:val="FF0000"/>
          <w:sz w:val="44"/>
          <w:szCs w:val="44"/>
        </w:rPr>
      </w:pPr>
      <w:bookmarkStart w:id="1" w:name="_GoBack"/>
      <w:bookmarkEnd w:id="1"/>
      <w:r>
        <w:rPr>
          <w:rFonts w:hint="eastAsia"/>
          <w:b/>
          <w:sz w:val="44"/>
          <w:szCs w:val="44"/>
        </w:rPr>
        <w:t>危险源、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环境因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素辨识及预控措施</w:t>
      </w:r>
    </w:p>
    <w:p>
      <w:pPr>
        <w:spacing w:line="480" w:lineRule="auto"/>
        <w:ind w:firstLine="643" w:firstLineChars="200"/>
        <w:jc w:val="both"/>
        <w:rPr>
          <w:rFonts w:hint="eastAsia"/>
          <w:b/>
          <w:bCs/>
          <w:sz w:val="32"/>
        </w:rPr>
      </w:pPr>
    </w:p>
    <w:p>
      <w:pPr>
        <w:spacing w:line="480" w:lineRule="auto"/>
        <w:ind w:firstLine="643" w:firstLineChars="200"/>
        <w:jc w:val="both"/>
        <w:rPr>
          <w:rFonts w:hint="eastAsia"/>
          <w:b/>
          <w:bCs/>
          <w:sz w:val="32"/>
        </w:rPr>
      </w:pPr>
    </w:p>
    <w:p>
      <w:pPr>
        <w:pStyle w:val="2"/>
        <w:rPr>
          <w:rFonts w:hint="eastAsia"/>
          <w:b/>
          <w:bCs/>
          <w:sz w:val="32"/>
        </w:rPr>
      </w:pPr>
    </w:p>
    <w:p>
      <w:pPr>
        <w:pStyle w:val="2"/>
        <w:rPr>
          <w:rFonts w:hint="eastAsia"/>
          <w:b/>
          <w:bCs/>
          <w:sz w:val="32"/>
        </w:rPr>
      </w:pPr>
    </w:p>
    <w:p>
      <w:pPr>
        <w:spacing w:line="480" w:lineRule="auto"/>
        <w:ind w:firstLine="2249" w:firstLineChars="700"/>
        <w:jc w:val="both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批准：</w:t>
      </w:r>
      <w:r>
        <w:rPr>
          <w:rFonts w:hint="eastAsia"/>
          <w:b/>
          <w:bCs/>
          <w:sz w:val="32"/>
          <w:u w:val="single"/>
        </w:rPr>
        <w:t xml:space="preserve"> 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</w:t>
      </w:r>
      <w:r>
        <w:rPr>
          <w:rFonts w:hint="eastAsia"/>
          <w:b/>
          <w:bCs/>
          <w:sz w:val="32"/>
          <w:u w:val="none"/>
          <w:lang w:val="en-US" w:eastAsia="zh-CN"/>
        </w:rPr>
        <w:t xml:space="preserve">  </w:t>
      </w:r>
    </w:p>
    <w:p>
      <w:pPr>
        <w:spacing w:line="480" w:lineRule="auto"/>
        <w:ind w:firstLine="2249" w:firstLineChars="700"/>
        <w:jc w:val="both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审核：</w:t>
      </w:r>
      <w:r>
        <w:rPr>
          <w:rFonts w:hint="eastAsia"/>
          <w:b/>
          <w:bCs/>
          <w:sz w:val="32"/>
          <w:u w:val="single"/>
        </w:rPr>
        <w:t xml:space="preserve"> 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</w:t>
      </w:r>
      <w:r>
        <w:rPr>
          <w:rFonts w:hint="eastAsia"/>
          <w:b/>
          <w:bCs/>
          <w:sz w:val="32"/>
          <w:u w:val="none"/>
          <w:lang w:val="en-US" w:eastAsia="zh-CN"/>
        </w:rPr>
        <w:t xml:space="preserve">  </w:t>
      </w:r>
    </w:p>
    <w:p>
      <w:pPr>
        <w:spacing w:line="480" w:lineRule="auto"/>
        <w:ind w:firstLine="2249" w:firstLineChars="700"/>
        <w:jc w:val="both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编制：</w:t>
      </w:r>
      <w:r>
        <w:rPr>
          <w:rFonts w:hint="eastAsia"/>
          <w:b/>
          <w:bCs/>
          <w:sz w:val="32"/>
          <w:u w:val="single"/>
        </w:rPr>
        <w:t xml:space="preserve">  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</w:t>
      </w:r>
      <w:r>
        <w:rPr>
          <w:rFonts w:hint="eastAsia"/>
          <w:b/>
          <w:bCs/>
          <w:sz w:val="32"/>
          <w:u w:val="none"/>
          <w:lang w:val="en-US" w:eastAsia="zh-CN"/>
        </w:rPr>
        <w:t xml:space="preserve">  </w:t>
      </w: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 w:eastAsiaTheme="minorEastAsia"/>
          <w:b/>
          <w:bCs/>
          <w:sz w:val="36"/>
          <w:lang w:eastAsia="zh-CN"/>
        </w:rPr>
      </w:pPr>
      <w:r>
        <w:rPr>
          <w:rFonts w:hint="eastAsia"/>
          <w:b/>
          <w:bCs/>
          <w:sz w:val="36"/>
        </w:rPr>
        <w:t>常州正衡电力工程监理有限公司</w:t>
      </w:r>
      <w:r>
        <w:rPr>
          <w:rFonts w:hint="eastAsia"/>
          <w:b/>
          <w:bCs/>
          <w:sz w:val="36"/>
          <w:lang w:eastAsia="zh-CN"/>
        </w:rPr>
        <w:t>项目部</w:t>
      </w:r>
    </w:p>
    <w:p>
      <w:pPr>
        <w:ind w:firstLine="723" w:firstLineChars="200"/>
        <w:jc w:val="center"/>
      </w:pPr>
      <w:r>
        <w:rPr>
          <w:rFonts w:hint="eastAsia"/>
          <w:b/>
          <w:bCs/>
          <w:sz w:val="36"/>
        </w:rPr>
        <w:t>20</w:t>
      </w:r>
      <w:r>
        <w:rPr>
          <w:rFonts w:hint="eastAsia"/>
          <w:b/>
          <w:bCs/>
          <w:sz w:val="36"/>
          <w:lang w:val="en-US" w:eastAsia="zh-CN"/>
        </w:rPr>
        <w:t>23</w:t>
      </w:r>
      <w:r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  <w:lang w:val="en-US" w:eastAsia="zh-CN"/>
        </w:rPr>
        <w:t>11</w:t>
      </w:r>
      <w:r>
        <w:rPr>
          <w:rFonts w:hint="eastAsia"/>
          <w:b/>
          <w:bCs/>
          <w:sz w:val="36"/>
        </w:rPr>
        <w:t>月</w:t>
      </w:r>
    </w:p>
    <w:bookmarkEnd w:id="0"/>
    <w:p>
      <w:pPr>
        <w:widowControl/>
        <w:autoSpaceDE/>
        <w:autoSpaceDN/>
        <w:adjustRightInd/>
        <w:snapToGrid/>
        <w:spacing w:line="240" w:lineRule="auto"/>
        <w:jc w:val="left"/>
        <w:rPr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723" w:firstLineChars="200"/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sz w:val="36"/>
          <w:szCs w:val="36"/>
        </w:rPr>
        <w:t>监理项目部危险源、环境因素辨识及预控措施</w:t>
      </w:r>
    </w:p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  施工管理</w:t>
      </w:r>
    </w:p>
    <w:tbl>
      <w:tblPr>
        <w:tblStyle w:val="6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118"/>
        <w:gridCol w:w="538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blHeader/>
        </w:trPr>
        <w:tc>
          <w:tcPr>
            <w:tcW w:w="2233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未经三级安全教育，不懂安全防护和安全操作知识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1、认真检查项目部三级安全教育、班组安全活动开展情况。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2、核对现场施工人员是否均已进行安全考试并成绩合格。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无安全技术措施或未交底施工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1、检查分部工程及重要、危险性作业是否均编制安全措施，并经交底、履行全员签字手续。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2、监督作业人员严格按经审批的方案和安全措施施工，若对方案或措施有疑问时，应征询审批人的意见。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安全技术措施不严密或不完善，有疏漏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1、监理审批时要严细认真，把好审批关。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、未经审批严禁实施。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违章指挥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1、加强监督、严禁违章指挥。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2、对违章指挥现象及时进行制止。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违章违纪作业，违反安全交底要求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autoSpaceDE/>
              <w:autoSpaceDN/>
              <w:adjustRightInd/>
              <w:spacing w:line="240" w:lineRule="auto"/>
              <w:ind w:left="210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1、监督现场施工遵章守纪，按规程作业，施工中严禁打闹、抛物等违章违纪行为。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2、监督作业人员严格按技术交底施工，不得擅自更改。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3、强化现场安全监督检查，以“三铁”反“三违”。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进入现场不戴或不正确佩戴安全帽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1、检查进入施工区的人员是否正确佩戴安全帽。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2、检查是否有坐、踏安全帽或把安全帽挪作他用的现象。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高处作业不系或未正确</w:t>
            </w:r>
            <w:r>
              <w:rPr>
                <w:rFonts w:hint="eastAsia"/>
                <w:sz w:val="18"/>
                <w:szCs w:val="18"/>
                <w:lang w:eastAsia="zh-CN"/>
              </w:rPr>
              <w:t>使用</w:t>
            </w:r>
            <w:r>
              <w:rPr>
                <w:rFonts w:hint="eastAsia"/>
                <w:sz w:val="18"/>
                <w:szCs w:val="18"/>
              </w:rPr>
              <w:t>安全带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left="-29" w:leftChars="-14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1、检查高处作业人员是否使用安全带，安全带必须拴在牢固的构件上，并不得低挂高用。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2、每次使用前，必须进行外观检查， 安全带（绳）断股、霉变、虫蛀、损伤或铁环有裂纹、挂钩变形、接口缝线脱开等严禁使用。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酒后进入施工现场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禁止酒后进入作业现场、严禁酒后作业。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工作不负责任、玩忽职守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1、检查项目部安全管理人员的到岗到位情况。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2、加强日常的监督检查。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违反规定，派不符合要求的人员上岗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1、检查作业人员的健康体检证，禁止职业禁忌者或其他不合要求者上岗。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2、特种作业人员正确须经培训合格，持证上岗。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3、严禁无证作业，无证驾驶。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危险作业项目不办安全施工作业票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1、所有输变电作业项目均要执行安全工作票制度。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2、所有工作人员应清楚作业票内容，且带票施工。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机械设备未按计划检修，带病作业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5399" w:type="dxa"/>
            <w:gridSpan w:val="2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1、施工机具要求工况良好，严禁带病作业。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2、监督项目部的机械管理制度执行情况，检查定期检修、维护和保养记录。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2、安全防护用品、设施</w:t>
      </w:r>
    </w:p>
    <w:tbl>
      <w:tblPr>
        <w:tblStyle w:val="6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115"/>
        <w:gridCol w:w="5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2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安全设施、用品、用具不符合要求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ind w:firstLine="360" w:firstLineChars="200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凡无生产厂家、许可证、生产日期及国家鉴定合格证书的安全防护用品、用具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严禁采购和使用。</w:t>
            </w:r>
          </w:p>
          <w:p>
            <w:pPr>
              <w:ind w:firstLine="360" w:firstLineChars="200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2、安全防护用品、用具不得接触高温、明火、化学腐蚀物及尖锐物体，不得移作他用。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3、检查项目部对安全防护用品、用具的定期试验记录，使用前进行外观检查。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安全设施不完善、作业环境不安全又未采取措施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1、督促项目部按要求完善安全设施，整治作业环境。</w:t>
            </w:r>
          </w:p>
          <w:p>
            <w:pPr>
              <w:topLinePunct/>
              <w:autoSpaceDE/>
              <w:autoSpaceDN/>
              <w:adjustRightIn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2、对一时难于完善和整改的问题，应采取临时措施，以策安全。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不正确使用劳动防护用品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1、采用抽查提问方式，检查作业人员是否熟悉劳保用品和防护用品的使用方法。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2、使用前应进行日常检查，施工中正确使用。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3、项目部应对安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全防护用品、用具设专人管理。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危险设备场所（包括孔洞等）无安全围栏、警示标志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1、严格按要求开展安全文明施工标准化工作，规范现场管理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2、危险设备、场所必须设置安全围栏和安全警示标志。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3、警示标志应符合有关标准和要求。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擅自拆除或挪用安全装置和设施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1、安全装置及设施严禁私自拆除、挪用。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2、若施工需要，须拆除时应征得安全员的同意，并采取临时措施，施工结束后按原样及时恢复。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工器具没有进行试验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1、受力工器具应该按照《电力建设安全工作规程》要求进行定期的预防性试验，不合格者严禁使用，每次使用前应进行外观检查。</w:t>
            </w:r>
          </w:p>
          <w:p>
            <w:pPr>
              <w:topLinePunct/>
              <w:ind w:firstLine="360" w:firstLineChars="200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绝缘工具必须定期进行绝缘试验，其绝缘性能应符合要求；每次使用前应进行外观检查。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机具应由专人保养维护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并作定期试验。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  施工电源及用电设备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61"/>
        <w:gridCol w:w="752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64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防范类别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647" w:type="dxa"/>
            <w:vMerge w:val="restart"/>
            <w:tcBorders>
              <w:bottom w:val="single" w:color="auto" w:sz="4" w:space="0"/>
            </w:tcBorders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施工电源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施工电源</w:t>
            </w: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施工电源未根据当地外电线路情况，正确采用TT系统或TN系统布置。未采用三级配电二级保护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施工现场与外电线路共用同一供电系统时，电气设备应根据当地要求作保护接零，或作保护接地，不得一部分设备作保护接零，另一部分设备作保护接地。当现场采用电业部门高压侧供电，自己设置变压器形成独立电网的，应作工作接地，必须采用TN-S系统。自备发电机时，接地系统独立设置，也应采用TN-S系统。末级和上一级或总配电箱应采用漏电保护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施工电源管理不规范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ind w:firstLine="185" w:firstLineChars="10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临建及生活用电设备的金属外壳可靠接地，并装设漏电开关或触电保安器。合理级配，禁止用其他金属丝替代熔丝，内部接线正确，设备齐全完善，门锁完好，无裸露带电导体。更换灯管、灯泡、开关插座等应在断电后进行。罗口灯泡的火线必须接灯座的中心接线桩头，地线应接通灯座外螺纹导体的接线柱上。所有照明灯具的火线必须进开关，加强日常安全用电的监督检查、维护，发现违章使用必须立即纠正，发现安全隐患应及时消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箱内闸具损坏、闸具不符合要求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箱内闸具必须符合要求，定期检查。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电工无证上岗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施工单位应由专业电工负责用电管理。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施工用电未按要求编制专项施工方案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开工前对施工单位编制的用电专项施工方案进行认真审核。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配电箱无门无锁无防雨措施或门锁坏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用电管理和检修维护必须规范，并由专业电工进行，配电箱必须上锁，并采取防雨措施。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配电箱下引出线混乱且未做保护接地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引线规范，接地可靠。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照明线路混乱，接头处不绝缘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照明线路接头处必须绝缘可靠，不得乱拉乱接。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保护零线与工作零线混接，开关箱漏电保护器失灵，漏电保护装置参数不匹配，违反“一机、一闸、一保护”的要求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加强使用前及使用过程中的检查，保护零线与工作零线不得混接，开关箱漏电保护器灵敏可靠，漏电保护装置参数应匹配，严格执行“一机、一闸、一保护”的要求。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停送电无专人负责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停送电设专人负责。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维修时未悬挂停电警示标志牌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维修时悬挂“有人作业，严禁合闸” 警示标志牌，并设专人负责监护。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647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用电设备</w:t>
            </w: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闸具熔断器参数与设备容量不符,未使用安全电压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一般行灯电压不得大于36V，潮湿和易触及带电体场所电压不得大于24V，特别潮湿场所和金属容器内工作电压不得大于12V。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现场施工及照明用电源及接线私拉乱接，未架空或过路未采取保护。用绿/黄双色线作动力线使用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由专业电工规范接线，禁止私拉乱接，任何情况下不准用绿/黄双色线作动力线使用。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夯路机、混凝土搅拌机、潜水泵等电动机械未采用防溅、防水和加强绝缘型设备，现场电动机械设备的金属外壳未可靠接地</w:t>
            </w:r>
          </w:p>
        </w:tc>
        <w:tc>
          <w:tcPr>
            <w:tcW w:w="7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选择安全可靠设备，电动机械设备金属外壳必须可靠接地。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用电设备保护接零和接地不符合要求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使用前检查，用电设备保护接零和接地必须符合要求。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电工工具损坏或未按规定穿戴防护用品</w:t>
            </w:r>
          </w:p>
        </w:tc>
        <w:tc>
          <w:tcPr>
            <w:tcW w:w="7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电工作业工具须经过检测，作业时按规定穿戴防护用品。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手持机电移动工具未检查试验或缺少防护罩而使用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手持机电移动工具必须通过检查试验，加装防护罩。。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  消防安全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885"/>
        <w:gridCol w:w="5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9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885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39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消防管理不到位</w:t>
            </w:r>
          </w:p>
        </w:tc>
        <w:tc>
          <w:tcPr>
            <w:tcW w:w="885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</w:tc>
        <w:tc>
          <w:tcPr>
            <w:tcW w:w="5398" w:type="dxa"/>
            <w:vAlign w:val="center"/>
          </w:tcPr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1、施工项目部应建立消防管理制度。按施工总平面布置，确定消防重点部位。</w:t>
            </w:r>
          </w:p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2、消防器材应设专人管理，定期检查，确保消防器材完好。</w:t>
            </w:r>
          </w:p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3、督促项目部进行消防专项教育，进行必要的消防演练。</w:t>
            </w:r>
          </w:p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4、装过挥发性油剂及其它易燃物质的容器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未经处理严禁焊接与切割。</w:t>
            </w:r>
          </w:p>
          <w:p>
            <w:pPr>
              <w:snapToGrid/>
              <w:spacing w:line="240" w:lineRule="auto"/>
              <w:ind w:left="-25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、办公、生活、仓库等地必须配备必要的消防设备和器材。消防器材应按照有关要求定期进行检查。</w:t>
            </w:r>
          </w:p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、电气设备附近应配备适用于扑灭电气火灾的消防器材，发生电气火灾时应首先切断电源。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防火设施不完善</w:t>
            </w:r>
          </w:p>
        </w:tc>
        <w:tc>
          <w:tcPr>
            <w:tcW w:w="885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</w:tc>
        <w:tc>
          <w:tcPr>
            <w:tcW w:w="5398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1、督促项目部根据火灾性质，配备消防适宜的消防设施。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2、经常检查，确保设施完好。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5、  焊接及气瓶管理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876"/>
        <w:gridCol w:w="5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40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气瓶直接受热</w:t>
            </w:r>
          </w:p>
        </w:tc>
        <w:tc>
          <w:tcPr>
            <w:tcW w:w="876" w:type="dxa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1、气瓶避免阳光曝晒，须远离明火或热源。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2、氧气瓶着火时应迅速关闭阀门。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3、乙炔瓶应储存在通风良好的库房里，必须树立放置。周围设立防火防爆标志，并配备干粉或二氧化碳灭火器，禁止使用四氯化碳灭火器。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4、乙炔瓶不能靠近热源和电器设备，防止曝晒，与明火距离不小于10m，严禁用火烘烤。搬用时的温度要保证在40℃以下，乙炔瓶表面温度不能超过40℃。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气瓶受剧烈震动或撞击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1、在运输、储存和使用过程中，避免气瓶剧烈震动和碰撞，防止脆裂爆炸，氧气瓶要有瓶帽和防震圈。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2、禁止敲击和碰撞，气瓶使用时应采取可靠的防倾倒措施。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气瓶超期未做检验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1、应按规定每3年定期进行技术检查,使用期满和送检未合格气瓶均不准使用。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2、严禁使用明火检漏。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乙炔气瓶的多孔性填料下沉形成净空间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乙炔瓶不能受剧烈震动和下墩,以免填料下沉形成空间。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乙炔瓶卧放或大量使用乙炔时丙酮随同流出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乙炔瓶搬运、装卸、使用时应直立放稳，严禁在地面上卧放并直接使用，一旦使用已卧放的乙炔瓶，必须直立后静置20分钟再连接乙炔减压器后使用。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气焊、气割作业烧伤或发生爆炸</w:t>
            </w:r>
          </w:p>
        </w:tc>
        <w:tc>
          <w:tcPr>
            <w:tcW w:w="876" w:type="dxa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灼伤</w:t>
            </w:r>
          </w:p>
        </w:tc>
        <w:tc>
          <w:tcPr>
            <w:tcW w:w="5406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1、气割时应有防止割件倾倒、坠落的措施。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2、气瓶不得与带电体接触，气瓶内气体不得全部用尽。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3、乙炔瓶应直立使用，氧、乙炔瓶的最小安全距离为5m。</w:t>
            </w:r>
          </w:p>
        </w:tc>
      </w:tr>
    </w:tbl>
    <w:p>
      <w:pPr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6、  交通运输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243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31" w:type="dxa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1243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624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restart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施工现场车速过快</w:t>
            </w:r>
          </w:p>
        </w:tc>
        <w:tc>
          <w:tcPr>
            <w:tcW w:w="6248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车辆进入施工现场，最高时速不得超过5公里。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continue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不察看周围情况，匆忙工作</w:t>
            </w:r>
          </w:p>
        </w:tc>
        <w:tc>
          <w:tcPr>
            <w:tcW w:w="6248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1、吊车、工程车进入施工现场前，驾驶人员应了解和熟悉施工现场带电区域及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带电设备</w:t>
            </w:r>
            <w:r>
              <w:rPr>
                <w:rFonts w:hint="eastAsia"/>
                <w:sz w:val="18"/>
                <w:szCs w:val="18"/>
              </w:rPr>
              <w:t>应保持</w:t>
            </w:r>
            <w:r>
              <w:rPr>
                <w:sz w:val="18"/>
                <w:szCs w:val="18"/>
              </w:rPr>
              <w:t>的安全距离。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2、吊车在架空电力线路下通过时，应</w:t>
            </w:r>
            <w:r>
              <w:rPr>
                <w:rFonts w:hint="eastAsia"/>
                <w:sz w:val="18"/>
                <w:szCs w:val="18"/>
              </w:rPr>
              <w:t>保证</w:t>
            </w:r>
            <w:r>
              <w:rPr>
                <w:sz w:val="18"/>
                <w:szCs w:val="18"/>
              </w:rPr>
              <w:t>吊臂与带电线路的安全距离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continue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不戴安全帽</w:t>
            </w:r>
          </w:p>
        </w:tc>
        <w:tc>
          <w:tcPr>
            <w:tcW w:w="6248" w:type="dxa"/>
            <w:vAlign w:val="center"/>
          </w:tcPr>
          <w:p>
            <w:pPr>
              <w:tabs>
                <w:tab w:val="left" w:pos="5385"/>
              </w:tabs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进入施工场所的驾驶人员必须戴好安全帽。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continue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停车位置不当</w:t>
            </w:r>
          </w:p>
        </w:tc>
        <w:tc>
          <w:tcPr>
            <w:tcW w:w="6248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各类</w:t>
            </w:r>
            <w:r>
              <w:rPr>
                <w:sz w:val="18"/>
                <w:szCs w:val="18"/>
              </w:rPr>
              <w:t>车辆进入施工地段，</w:t>
            </w:r>
            <w:r>
              <w:rPr>
                <w:rFonts w:hint="eastAsia"/>
                <w:sz w:val="18"/>
                <w:szCs w:val="18"/>
              </w:rPr>
              <w:t>需停放在安全位置</w:t>
            </w:r>
            <w:r>
              <w:rPr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continue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未设置警示标志</w:t>
            </w:r>
          </w:p>
        </w:tc>
        <w:tc>
          <w:tcPr>
            <w:tcW w:w="6248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在道路和公共场所施工作业时，停放的车辆应设置警示标志。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7、  生活安全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903"/>
        <w:gridCol w:w="5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0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311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不卫生或受污染的食物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中毒和窒息</w:t>
            </w:r>
          </w:p>
        </w:tc>
        <w:tc>
          <w:tcPr>
            <w:tcW w:w="5311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保持办公区域和食堂等生活区域的环境卫生。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生活用电不规范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</w:tc>
        <w:tc>
          <w:tcPr>
            <w:tcW w:w="5311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2、严禁使用大功率电器，严禁超负荷使用电气设备。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0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煤气、液化气等违章使用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中毒和窒息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容器爆炸</w:t>
            </w:r>
          </w:p>
        </w:tc>
        <w:tc>
          <w:tcPr>
            <w:tcW w:w="5311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1、生活用煤气、液化气的使用应按照有关要求，严禁违章安装和使用。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2、气瓶、燃气用具等应符合有关安全标准。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3、生活用气的检查、维护等应由专人管理。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高温中暑 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低温冻害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5311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1、在高温的夏季或严寒的冬季施工时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应采取防暑降温或防寒防冻措施。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2、配备如仁丹、十滴水、防冻油膏等必要的药品。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8、  地基工程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207"/>
        <w:gridCol w:w="736"/>
        <w:gridCol w:w="4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9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防范类别</w:t>
            </w:r>
          </w:p>
        </w:tc>
        <w:tc>
          <w:tcPr>
            <w:tcW w:w="46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9、  结构工程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77"/>
        <w:gridCol w:w="726"/>
        <w:gridCol w:w="4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防范类别</w:t>
            </w:r>
          </w:p>
        </w:tc>
        <w:tc>
          <w:tcPr>
            <w:tcW w:w="4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机械使用</w:t>
            </w: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机械未定期检查、试验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进场验收合格后使用。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机械无专用操作棚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设钢筋机械专用操作棚。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0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作业卷扬机操作人员未看到指挥人员发信号就开机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作业前进行交底和分工，卷扬机操作人员必须根据指挥人员的信号开机，其他人员发出危险信号时必须停机。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机械传动部位无防护罩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钢筋机械传动部位加防护罩。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35" w:hRule="atLeast"/>
        </w:trPr>
        <w:tc>
          <w:tcPr>
            <w:tcW w:w="90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机械维修、保养未切断电源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在切断电源的情况下维修、保养钢筋机械。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0</w:t>
      </w:r>
      <w:r>
        <w:rPr>
          <w:rFonts w:hint="eastAsia"/>
          <w:b/>
          <w:bCs/>
          <w:sz w:val="24"/>
          <w:szCs w:val="24"/>
        </w:rPr>
        <w:t>、  安装工程施工准备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93"/>
        <w:gridCol w:w="73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4979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restart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施工准备</w:t>
            </w:r>
          </w:p>
        </w:tc>
        <w:tc>
          <w:tcPr>
            <w:tcW w:w="209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工程开工未履行规定程序、非法施工</w:t>
            </w:r>
          </w:p>
        </w:tc>
        <w:tc>
          <w:tcPr>
            <w:tcW w:w="73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497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进入现场前，必须编制施工组织设计和措施，办理开工手续。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临时建筑工程未经设计及整体规划</w:t>
            </w:r>
          </w:p>
        </w:tc>
        <w:tc>
          <w:tcPr>
            <w:tcW w:w="73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497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临时建筑工程需经总体设计规划，合理布置，符合《国家电网公司输变电工程安全文明施工标准化工作规定（试行）》的要求。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715" w:type="dxa"/>
            <w:vMerge w:val="continue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作业环境不良</w:t>
            </w:r>
          </w:p>
        </w:tc>
        <w:tc>
          <w:tcPr>
            <w:tcW w:w="73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497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新建户外式变电所施工前要彻底平整场地，道路硬化，设有安全通道，生活区要装设足够的照明，现场坑道、沟道等要设围栏。扩建及室内GIS（组合电气）变电站所，施工前要设置警示标志。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</w:rPr>
        <w:t>、  接地网敷设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38"/>
        <w:gridCol w:w="719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03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19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4960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焊接</w:t>
            </w:r>
          </w:p>
        </w:tc>
        <w:tc>
          <w:tcPr>
            <w:tcW w:w="203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感应电伤害</w:t>
            </w:r>
          </w:p>
        </w:tc>
        <w:tc>
          <w:tcPr>
            <w:tcW w:w="719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接地带、接地极焊接要由专业焊工作业，作业时必须穿绝缘胶鞋戴电焊手套，穿焊接作业防护服，接地沟潮湿处要垫干燥木板，焊接点处要清除残土，保持足够的作业空间。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敷设</w:t>
            </w:r>
          </w:p>
        </w:tc>
        <w:tc>
          <w:tcPr>
            <w:tcW w:w="203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接地带、接地钢筋留甩头处伤人</w:t>
            </w:r>
          </w:p>
        </w:tc>
        <w:tc>
          <w:tcPr>
            <w:tcW w:w="719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496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接地网敷设要尽可能减少留甩头，留甩头处做平整处理，设备与地网处不可留甩头，要在地面下连接，室内变电站所要将所有钢筋进行接地，主要过道及施工通道的接地甩头处设警示牌或围栏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、  构支架安装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25"/>
        <w:gridCol w:w="729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0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4963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堆放、搬运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杆体滚动挤手压脚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作业人员要站在杆转动的相反方向，定位后用专用木楔垫块垫牢，设备杆件堆放处要用进行围护。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构架组立前未进行安全技术措施交底，作业人员不清楚自己所从事作业的危险和预防、控制措施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作业指导书和安全施工措施经审批后方可进行吊装作业，所有参加作业人员必须参加安全技术措施交底，交底内容必须明确相应的危险点和预控措施，并履行签字程序，未参加交底签字人员不得参加施工作业。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起吊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杆段倾倒，横梁摇晃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起吊过程中，应有专人负责，统一指挥，各临时拉线设专人松紧，各受力地锚设专人看护，动作要协调。吊物离地面10cm时，应停止起吊，检查吊车支撑、钢丝绳扣、吊物吊点是否正确，确认无误后，方可继续起吊，起吊要平稳。固定构架的临时拉线应使用钢丝绳，不得用综绳、尼龙绳替代，绑扎工作必须由技工担任，A型杆拉线不得少于4根。固定在同一临时地锚上的拉线不得超过两根，严禁用小型基础和非固定物做地锚使用。起吊横梁应在横梁两端用大绳做溜绳，控制横梁方向，在杆根部没固定好之前及二次灌浆未达到规定强度前，不得拆除临时拉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高处作业人员位置不当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118" w:leftChars="-56"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作业人员在构支架根部及临时拉线未固定好之前，严禁登杆作业。检查无误后方可作业。横梁就位时，构架上的施工人员严禁站在节点顶上，横梁就位后应及时固定。合理施工，尽可能减少和缩短作业人员在高处作业时间。高处作业人员必须携带工具袋，传递物品用传递绳，横梁上方及两端不许放置悬浮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吊装组立的构架未及时采取防雷接地措施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变电构架施工中，对完成吊装组立的构架应及时做好临时性防雷接地措施，以避免雷击和跨步电压伤人。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C"/>
    <w:rsid w:val="0069421A"/>
    <w:rsid w:val="009E5B4B"/>
    <w:rsid w:val="00AB3113"/>
    <w:rsid w:val="00FF0A8C"/>
    <w:rsid w:val="07B228E6"/>
    <w:rsid w:val="08A20D83"/>
    <w:rsid w:val="0A93488A"/>
    <w:rsid w:val="128A786A"/>
    <w:rsid w:val="12ED727A"/>
    <w:rsid w:val="13541DCE"/>
    <w:rsid w:val="143532D7"/>
    <w:rsid w:val="16400939"/>
    <w:rsid w:val="194F504F"/>
    <w:rsid w:val="1B8C6A15"/>
    <w:rsid w:val="1C9B07B9"/>
    <w:rsid w:val="20BE23AA"/>
    <w:rsid w:val="22B048BF"/>
    <w:rsid w:val="239024A0"/>
    <w:rsid w:val="24ED6F82"/>
    <w:rsid w:val="26A74BCA"/>
    <w:rsid w:val="281B4787"/>
    <w:rsid w:val="306F51E3"/>
    <w:rsid w:val="30A53C94"/>
    <w:rsid w:val="32B8647C"/>
    <w:rsid w:val="388512F0"/>
    <w:rsid w:val="38C341FC"/>
    <w:rsid w:val="39E547D0"/>
    <w:rsid w:val="40D94160"/>
    <w:rsid w:val="4147637B"/>
    <w:rsid w:val="458E6D22"/>
    <w:rsid w:val="47654EC1"/>
    <w:rsid w:val="47887E04"/>
    <w:rsid w:val="49A343C9"/>
    <w:rsid w:val="4A064C00"/>
    <w:rsid w:val="4A237470"/>
    <w:rsid w:val="4AA673CC"/>
    <w:rsid w:val="4D3F1205"/>
    <w:rsid w:val="514B1E92"/>
    <w:rsid w:val="54C772CD"/>
    <w:rsid w:val="57DB3709"/>
    <w:rsid w:val="58A77B74"/>
    <w:rsid w:val="5A73734C"/>
    <w:rsid w:val="64907F4C"/>
    <w:rsid w:val="649F7031"/>
    <w:rsid w:val="64F956A1"/>
    <w:rsid w:val="68E953D9"/>
    <w:rsid w:val="6D7C12A2"/>
    <w:rsid w:val="71352F06"/>
    <w:rsid w:val="71A84883"/>
    <w:rsid w:val="790D280D"/>
    <w:rsid w:val="79C31762"/>
    <w:rsid w:val="7E2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2308</Words>
  <Characters>13161</Characters>
  <Lines>109</Lines>
  <Paragraphs>30</Paragraphs>
  <TotalTime>8</TotalTime>
  <ScaleCrop>false</ScaleCrop>
  <LinksUpToDate>false</LinksUpToDate>
  <CharactersWithSpaces>15439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Administrator</cp:lastModifiedBy>
  <cp:lastPrinted>2020-06-15T15:04:00Z</cp:lastPrinted>
  <dcterms:modified xsi:type="dcterms:W3CDTF">2023-11-25T02:32:10Z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0F770C60D742400DBE41CCF7EDABC2FB</vt:lpwstr>
  </property>
</Properties>
</file>