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工程变更及洽商台帐</w:t>
      </w:r>
    </w:p>
    <w:p>
      <w:pPr>
        <w:tabs>
          <w:tab w:val="left" w:pos="14559"/>
        </w:tabs>
        <w:rPr>
          <w:rFonts w:hint="eastAsia"/>
          <w:b/>
          <w:sz w:val="28"/>
        </w:rPr>
      </w:pPr>
      <w:r>
        <w:rPr>
          <w:rFonts w:hint="eastAsia" w:ascii="宋体"/>
          <w:b/>
          <w:bCs/>
          <w:sz w:val="24"/>
        </w:rPr>
        <w:t>工程名称：                                                             施工单位：                            第    页</w:t>
      </w:r>
    </w:p>
    <w:tbl>
      <w:tblPr>
        <w:tblStyle w:val="3"/>
        <w:tblW w:w="14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890"/>
        <w:gridCol w:w="1811"/>
        <w:gridCol w:w="945"/>
        <w:gridCol w:w="1706"/>
        <w:gridCol w:w="4119"/>
        <w:gridCol w:w="2286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变更及洽商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   号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变更及洽商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  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图纸号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变更及洽商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  位</w:t>
            </w: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变更及洽商概述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变更及洽商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  由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监理签认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B09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zh1</cp:lastModifiedBy>
  <dcterms:modified xsi:type="dcterms:W3CDTF">2016-06-29T02:15:23Z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